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aps/>
          <w:color w:val="auto"/>
          <w:sz w:val="22"/>
          <w:szCs w:val="22"/>
        </w:rPr>
        <w:id w:val="181873729"/>
        <w:docPartObj>
          <w:docPartGallery w:val="Cover Pages"/>
          <w:docPartUnique/>
        </w:docPartObj>
      </w:sdtPr>
      <w:sdtEndPr>
        <w:rPr>
          <w:caps w:val="0"/>
        </w:rPr>
      </w:sdtEndPr>
      <w:sdtContent>
        <w:tbl>
          <w:tblPr>
            <w:tblW w:w="5000" w:type="pct"/>
            <w:jc w:val="center"/>
            <w:tblLook w:val="04A0" w:firstRow="1" w:lastRow="0" w:firstColumn="1" w:lastColumn="0" w:noHBand="0" w:noVBand="1"/>
          </w:tblPr>
          <w:tblGrid>
            <w:gridCol w:w="9360"/>
          </w:tblGrid>
          <w:tr w:rsidR="00D6515D" w14:paraId="500A8C41" w14:textId="77777777">
            <w:trPr>
              <w:trHeight w:val="2880"/>
              <w:jc w:val="center"/>
            </w:trPr>
            <w:tc>
              <w:tcPr>
                <w:tcW w:w="5000" w:type="pct"/>
              </w:tcPr>
              <w:p w14:paraId="496C050C" w14:textId="36A4D7B2" w:rsidR="00D6515D" w:rsidRDefault="00D6515D" w:rsidP="00562A1C">
                <w:pPr>
                  <w:pStyle w:val="Heading1"/>
                  <w:rPr>
                    <w:caps/>
                  </w:rPr>
                </w:pPr>
              </w:p>
            </w:tc>
          </w:tr>
          <w:tr w:rsidR="00D6515D" w14:paraId="61640631" w14:textId="77777777">
            <w:trPr>
              <w:trHeight w:val="1440"/>
              <w:jc w:val="center"/>
            </w:trPr>
            <w:sdt>
              <w:sdtPr>
                <w:alias w:val="Title"/>
                <w:id w:val="15524250"/>
                <w:placeholder>
                  <w:docPart w:val="37406AF5EF604CF0AA4562282BDCF3C8"/>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14:paraId="3FB36CDC" w14:textId="5FAACDC5" w:rsidR="00D6515D" w:rsidRDefault="00562A1C" w:rsidP="00562A1C">
                    <w:pPr>
                      <w:pStyle w:val="Title"/>
                      <w:jc w:val="center"/>
                    </w:pPr>
                    <w:r>
                      <w:t>Q/d*C</w:t>
                    </w:r>
                  </w:p>
                </w:tc>
              </w:sdtContent>
            </w:sdt>
          </w:tr>
          <w:tr w:rsidR="00D6515D" w14:paraId="3D418B06" w14:textId="77777777">
            <w:trPr>
              <w:trHeight w:val="720"/>
              <w:jc w:val="center"/>
            </w:trPr>
            <w:sdt>
              <w:sdtPr>
                <w:rPr>
                  <w:rFonts w:asciiTheme="majorHAnsi" w:eastAsiaTheme="majorEastAsia" w:hAnsiTheme="majorHAnsi" w:cstheme="majorBidi"/>
                  <w:sz w:val="44"/>
                  <w:szCs w:val="44"/>
                </w:rPr>
                <w:alias w:val="Subtitle"/>
                <w:id w:val="15524255"/>
                <w:placeholder>
                  <w:docPart w:val="51D102A7063045CF9B941B33784E665A"/>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5B9BD5" w:themeColor="accent1"/>
                    </w:tcBorders>
                    <w:vAlign w:val="center"/>
                  </w:tcPr>
                  <w:p w14:paraId="554E7093" w14:textId="05759EDE" w:rsidR="00D6515D" w:rsidRDefault="00EE09F4" w:rsidP="00EE09F4">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MANE-VU Updated Contribution Assessment</w:t>
                    </w:r>
                  </w:p>
                </w:tc>
              </w:sdtContent>
            </w:sdt>
          </w:tr>
          <w:tr w:rsidR="00D6515D" w14:paraId="28F807A1" w14:textId="77777777">
            <w:trPr>
              <w:trHeight w:val="360"/>
              <w:jc w:val="center"/>
            </w:trPr>
            <w:tc>
              <w:tcPr>
                <w:tcW w:w="5000" w:type="pct"/>
                <w:vAlign w:val="center"/>
              </w:tcPr>
              <w:p w14:paraId="167F33EF" w14:textId="77777777" w:rsidR="00D6515D" w:rsidRDefault="00D6515D">
                <w:pPr>
                  <w:pStyle w:val="NoSpacing"/>
                  <w:jc w:val="center"/>
                </w:pPr>
              </w:p>
            </w:tc>
          </w:tr>
          <w:tr w:rsidR="00D6515D" w14:paraId="74E600AF" w14:textId="77777777">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4E4980FB" w14:textId="05E090D8" w:rsidR="00D6515D" w:rsidRDefault="00D6515D" w:rsidP="00EE09F4">
                    <w:pPr>
                      <w:pStyle w:val="NoSpacing"/>
                      <w:jc w:val="center"/>
                      <w:rPr>
                        <w:b/>
                        <w:bCs/>
                      </w:rPr>
                    </w:pPr>
                    <w:r>
                      <w:rPr>
                        <w:b/>
                        <w:bCs/>
                      </w:rPr>
                      <w:t>MANE-VU</w:t>
                    </w:r>
                  </w:p>
                </w:tc>
              </w:sdtContent>
            </w:sdt>
          </w:tr>
          <w:tr w:rsidR="00D6515D" w14:paraId="62B84A8E" w14:textId="77777777">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6-04-06T00:00:00Z">
                  <w:dateFormat w:val="M/d/yyyy"/>
                  <w:lid w:val="en-US"/>
                  <w:storeMappedDataAs w:val="dateTime"/>
                  <w:calendar w:val="gregorian"/>
                </w:date>
              </w:sdtPr>
              <w:sdtEndPr/>
              <w:sdtContent>
                <w:tc>
                  <w:tcPr>
                    <w:tcW w:w="5000" w:type="pct"/>
                    <w:vAlign w:val="center"/>
                  </w:tcPr>
                  <w:p w14:paraId="36B5422B" w14:textId="0E7D3D1A" w:rsidR="00D6515D" w:rsidRDefault="00562A1C" w:rsidP="00562A1C">
                    <w:pPr>
                      <w:pStyle w:val="NoSpacing"/>
                      <w:jc w:val="center"/>
                      <w:rPr>
                        <w:b/>
                        <w:bCs/>
                      </w:rPr>
                    </w:pPr>
                    <w:r>
                      <w:rPr>
                        <w:b/>
                        <w:bCs/>
                      </w:rPr>
                      <w:t>4/6/2016</w:t>
                    </w:r>
                  </w:p>
                </w:tc>
              </w:sdtContent>
            </w:sdt>
          </w:tr>
        </w:tbl>
        <w:p w14:paraId="531108BE" w14:textId="77777777" w:rsidR="00D6515D" w:rsidRDefault="00D6515D"/>
        <w:p w14:paraId="4F895516" w14:textId="77777777" w:rsidR="00D6515D" w:rsidRDefault="00D6515D"/>
        <w:tbl>
          <w:tblPr>
            <w:tblpPr w:leftFromText="187" w:rightFromText="187" w:horzAnchor="margin" w:tblpXSpec="center" w:tblpYSpec="bottom"/>
            <w:tblW w:w="5000" w:type="pct"/>
            <w:tblLook w:val="04A0" w:firstRow="1" w:lastRow="0" w:firstColumn="1" w:lastColumn="0" w:noHBand="0" w:noVBand="1"/>
          </w:tblPr>
          <w:tblGrid>
            <w:gridCol w:w="9360"/>
          </w:tblGrid>
          <w:tr w:rsidR="00D6515D" w14:paraId="1930B321" w14:textId="77777777">
            <w:tc>
              <w:tcPr>
                <w:tcW w:w="5000" w:type="pct"/>
              </w:tcPr>
              <w:p w14:paraId="629214B1" w14:textId="3F834CB0" w:rsidR="00D6515D" w:rsidRDefault="00D6515D">
                <w:pPr>
                  <w:pStyle w:val="NoSpacing"/>
                </w:pPr>
              </w:p>
            </w:tc>
          </w:tr>
        </w:tbl>
        <w:p w14:paraId="7C54B0E2" w14:textId="77777777" w:rsidR="00D6515D" w:rsidRDefault="00D6515D"/>
        <w:p w14:paraId="1CAF5E19" w14:textId="6B6F0600" w:rsidR="00D6515D" w:rsidRPr="00EE09F4" w:rsidRDefault="00D6515D" w:rsidP="00160D14">
          <w:r>
            <w:br w:type="page"/>
          </w:r>
        </w:p>
      </w:sdtContent>
    </w:sdt>
    <w:p w14:paraId="51F54E86" w14:textId="77777777" w:rsidR="00EE09F4" w:rsidRDefault="00EE09F4" w:rsidP="00D6515D">
      <w:pPr>
        <w:pStyle w:val="Heading2"/>
        <w:sectPr w:rsidR="00EE09F4" w:rsidSect="00D6515D">
          <w:headerReference w:type="default" r:id="rId8"/>
          <w:footerReference w:type="first" r:id="rId9"/>
          <w:pgSz w:w="12240" w:h="15840"/>
          <w:pgMar w:top="1440" w:right="1440" w:bottom="1440" w:left="1440" w:header="720" w:footer="720" w:gutter="0"/>
          <w:pgNumType w:start="0"/>
          <w:cols w:space="720"/>
          <w:titlePg/>
          <w:docGrid w:linePitch="360"/>
        </w:sectPr>
      </w:pPr>
    </w:p>
    <w:sdt>
      <w:sdtPr>
        <w:rPr>
          <w:rFonts w:asciiTheme="minorHAnsi" w:eastAsiaTheme="minorHAnsi" w:hAnsiTheme="minorHAnsi" w:cstheme="minorBidi"/>
          <w:color w:val="auto"/>
          <w:sz w:val="22"/>
          <w:szCs w:val="22"/>
        </w:rPr>
        <w:id w:val="1873264362"/>
        <w:docPartObj>
          <w:docPartGallery w:val="Table of Contents"/>
          <w:docPartUnique/>
        </w:docPartObj>
      </w:sdtPr>
      <w:sdtEndPr>
        <w:rPr>
          <w:b/>
          <w:bCs/>
          <w:noProof/>
        </w:rPr>
      </w:sdtEndPr>
      <w:sdtContent>
        <w:p w14:paraId="4497D7EA" w14:textId="1296A211" w:rsidR="00EE09F4" w:rsidRPr="0046507E" w:rsidRDefault="00EE09F4">
          <w:pPr>
            <w:pStyle w:val="TOCHeading"/>
            <w:rPr>
              <w:rStyle w:val="Heading3Char"/>
            </w:rPr>
          </w:pPr>
          <w:r w:rsidRPr="0046507E">
            <w:rPr>
              <w:rStyle w:val="Heading3Char"/>
            </w:rPr>
            <w:t>Contents</w:t>
          </w:r>
        </w:p>
        <w:p w14:paraId="3E93D823" w14:textId="77777777" w:rsidR="005B1E11" w:rsidRDefault="00EE09F4">
          <w:pPr>
            <w:pStyle w:val="TOC3"/>
            <w:tabs>
              <w:tab w:val="right" w:leader="dot" w:pos="9350"/>
            </w:tabs>
            <w:rPr>
              <w:rFonts w:eastAsiaTheme="minorEastAsia"/>
              <w:noProof/>
            </w:rPr>
          </w:pPr>
          <w:r>
            <w:fldChar w:fldCharType="begin"/>
          </w:r>
          <w:r>
            <w:instrText xml:space="preserve"> TOC \o "1-3" \h \z \u </w:instrText>
          </w:r>
          <w:r>
            <w:fldChar w:fldCharType="separate"/>
          </w:r>
          <w:hyperlink w:anchor="_Toc447733815" w:history="1">
            <w:r w:rsidR="005B1E11" w:rsidRPr="00AA46F5">
              <w:rPr>
                <w:rStyle w:val="Hyperlink"/>
                <w:noProof/>
              </w:rPr>
              <w:t>Figures</w:t>
            </w:r>
            <w:r w:rsidR="005B1E11">
              <w:rPr>
                <w:noProof/>
                <w:webHidden/>
              </w:rPr>
              <w:tab/>
            </w:r>
            <w:r w:rsidR="005B1E11">
              <w:rPr>
                <w:noProof/>
                <w:webHidden/>
              </w:rPr>
              <w:fldChar w:fldCharType="begin"/>
            </w:r>
            <w:r w:rsidR="005B1E11">
              <w:rPr>
                <w:noProof/>
                <w:webHidden/>
              </w:rPr>
              <w:instrText xml:space="preserve"> PAGEREF _Toc447733815 \h </w:instrText>
            </w:r>
            <w:r w:rsidR="005B1E11">
              <w:rPr>
                <w:noProof/>
                <w:webHidden/>
              </w:rPr>
            </w:r>
            <w:r w:rsidR="005B1E11">
              <w:rPr>
                <w:noProof/>
                <w:webHidden/>
              </w:rPr>
              <w:fldChar w:fldCharType="separate"/>
            </w:r>
            <w:r w:rsidR="005B1E11">
              <w:rPr>
                <w:noProof/>
                <w:webHidden/>
              </w:rPr>
              <w:t>i</w:t>
            </w:r>
            <w:r w:rsidR="005B1E11">
              <w:rPr>
                <w:noProof/>
                <w:webHidden/>
              </w:rPr>
              <w:fldChar w:fldCharType="end"/>
            </w:r>
          </w:hyperlink>
        </w:p>
        <w:p w14:paraId="48D78E3B" w14:textId="77777777" w:rsidR="005B1E11" w:rsidRDefault="002B14BC">
          <w:pPr>
            <w:pStyle w:val="TOC3"/>
            <w:tabs>
              <w:tab w:val="right" w:leader="dot" w:pos="9350"/>
            </w:tabs>
            <w:rPr>
              <w:rFonts w:eastAsiaTheme="minorEastAsia"/>
              <w:noProof/>
            </w:rPr>
          </w:pPr>
          <w:hyperlink w:anchor="_Toc447733816" w:history="1">
            <w:r w:rsidR="005B1E11" w:rsidRPr="00AA46F5">
              <w:rPr>
                <w:rStyle w:val="Hyperlink"/>
                <w:noProof/>
              </w:rPr>
              <w:t>Tables</w:t>
            </w:r>
            <w:r w:rsidR="005B1E11">
              <w:rPr>
                <w:noProof/>
                <w:webHidden/>
              </w:rPr>
              <w:tab/>
            </w:r>
            <w:r w:rsidR="005B1E11">
              <w:rPr>
                <w:noProof/>
                <w:webHidden/>
              </w:rPr>
              <w:fldChar w:fldCharType="begin"/>
            </w:r>
            <w:r w:rsidR="005B1E11">
              <w:rPr>
                <w:noProof/>
                <w:webHidden/>
              </w:rPr>
              <w:instrText xml:space="preserve"> PAGEREF _Toc447733816 \h </w:instrText>
            </w:r>
            <w:r w:rsidR="005B1E11">
              <w:rPr>
                <w:noProof/>
                <w:webHidden/>
              </w:rPr>
            </w:r>
            <w:r w:rsidR="005B1E11">
              <w:rPr>
                <w:noProof/>
                <w:webHidden/>
              </w:rPr>
              <w:fldChar w:fldCharType="separate"/>
            </w:r>
            <w:r w:rsidR="005B1E11">
              <w:rPr>
                <w:noProof/>
                <w:webHidden/>
              </w:rPr>
              <w:t>i</w:t>
            </w:r>
            <w:r w:rsidR="005B1E11">
              <w:rPr>
                <w:noProof/>
                <w:webHidden/>
              </w:rPr>
              <w:fldChar w:fldCharType="end"/>
            </w:r>
          </w:hyperlink>
        </w:p>
        <w:p w14:paraId="10784D45" w14:textId="77777777" w:rsidR="005B1E11" w:rsidRDefault="002B14BC">
          <w:pPr>
            <w:pStyle w:val="TOC2"/>
            <w:tabs>
              <w:tab w:val="right" w:leader="dot" w:pos="9350"/>
            </w:tabs>
            <w:rPr>
              <w:rFonts w:eastAsiaTheme="minorEastAsia"/>
              <w:noProof/>
            </w:rPr>
          </w:pPr>
          <w:hyperlink w:anchor="_Toc447733817" w:history="1">
            <w:r w:rsidR="005B1E11" w:rsidRPr="00AA46F5">
              <w:rPr>
                <w:rStyle w:val="Hyperlink"/>
                <w:noProof/>
              </w:rPr>
              <w:t>Background and Introduction</w:t>
            </w:r>
            <w:r w:rsidR="005B1E11">
              <w:rPr>
                <w:noProof/>
                <w:webHidden/>
              </w:rPr>
              <w:tab/>
            </w:r>
            <w:r w:rsidR="005B1E11">
              <w:rPr>
                <w:noProof/>
                <w:webHidden/>
              </w:rPr>
              <w:fldChar w:fldCharType="begin"/>
            </w:r>
            <w:r w:rsidR="005B1E11">
              <w:rPr>
                <w:noProof/>
                <w:webHidden/>
              </w:rPr>
              <w:instrText xml:space="preserve"> PAGEREF _Toc447733817 \h </w:instrText>
            </w:r>
            <w:r w:rsidR="005B1E11">
              <w:rPr>
                <w:noProof/>
                <w:webHidden/>
              </w:rPr>
            </w:r>
            <w:r w:rsidR="005B1E11">
              <w:rPr>
                <w:noProof/>
                <w:webHidden/>
              </w:rPr>
              <w:fldChar w:fldCharType="separate"/>
            </w:r>
            <w:r w:rsidR="005B1E11">
              <w:rPr>
                <w:noProof/>
                <w:webHidden/>
              </w:rPr>
              <w:t>1</w:t>
            </w:r>
            <w:r w:rsidR="005B1E11">
              <w:rPr>
                <w:noProof/>
                <w:webHidden/>
              </w:rPr>
              <w:fldChar w:fldCharType="end"/>
            </w:r>
          </w:hyperlink>
        </w:p>
        <w:p w14:paraId="72390FC1" w14:textId="77777777" w:rsidR="005B1E11" w:rsidRDefault="002B14BC">
          <w:pPr>
            <w:pStyle w:val="TOC2"/>
            <w:tabs>
              <w:tab w:val="right" w:leader="dot" w:pos="9350"/>
            </w:tabs>
            <w:rPr>
              <w:rFonts w:eastAsiaTheme="minorEastAsia"/>
              <w:noProof/>
            </w:rPr>
          </w:pPr>
          <w:hyperlink w:anchor="_Toc447733818" w:history="1">
            <w:r w:rsidR="005B1E11" w:rsidRPr="00AA46F5">
              <w:rPr>
                <w:rStyle w:val="Hyperlink"/>
                <w:noProof/>
              </w:rPr>
              <w:t>Methods</w:t>
            </w:r>
            <w:r w:rsidR="005B1E11">
              <w:rPr>
                <w:noProof/>
                <w:webHidden/>
              </w:rPr>
              <w:tab/>
            </w:r>
            <w:r w:rsidR="005B1E11">
              <w:rPr>
                <w:noProof/>
                <w:webHidden/>
              </w:rPr>
              <w:fldChar w:fldCharType="begin"/>
            </w:r>
            <w:r w:rsidR="005B1E11">
              <w:rPr>
                <w:noProof/>
                <w:webHidden/>
              </w:rPr>
              <w:instrText xml:space="preserve"> PAGEREF _Toc447733818 \h </w:instrText>
            </w:r>
            <w:r w:rsidR="005B1E11">
              <w:rPr>
                <w:noProof/>
                <w:webHidden/>
              </w:rPr>
            </w:r>
            <w:r w:rsidR="005B1E11">
              <w:rPr>
                <w:noProof/>
                <w:webHidden/>
              </w:rPr>
              <w:fldChar w:fldCharType="separate"/>
            </w:r>
            <w:r w:rsidR="005B1E11">
              <w:rPr>
                <w:noProof/>
                <w:webHidden/>
              </w:rPr>
              <w:t>1</w:t>
            </w:r>
            <w:r w:rsidR="005B1E11">
              <w:rPr>
                <w:noProof/>
                <w:webHidden/>
              </w:rPr>
              <w:fldChar w:fldCharType="end"/>
            </w:r>
          </w:hyperlink>
        </w:p>
        <w:p w14:paraId="121E4817" w14:textId="77777777" w:rsidR="005B1E11" w:rsidRDefault="002B14BC">
          <w:pPr>
            <w:pStyle w:val="TOC2"/>
            <w:tabs>
              <w:tab w:val="right" w:leader="dot" w:pos="9350"/>
            </w:tabs>
            <w:rPr>
              <w:rFonts w:eastAsiaTheme="minorEastAsia"/>
              <w:noProof/>
            </w:rPr>
          </w:pPr>
          <w:hyperlink w:anchor="_Toc447733819" w:history="1">
            <w:r w:rsidR="005B1E11" w:rsidRPr="00AA46F5">
              <w:rPr>
                <w:rStyle w:val="Hyperlink"/>
                <w:noProof/>
              </w:rPr>
              <w:t>Results</w:t>
            </w:r>
            <w:r w:rsidR="005B1E11">
              <w:rPr>
                <w:noProof/>
                <w:webHidden/>
              </w:rPr>
              <w:tab/>
            </w:r>
            <w:r w:rsidR="005B1E11">
              <w:rPr>
                <w:noProof/>
                <w:webHidden/>
              </w:rPr>
              <w:fldChar w:fldCharType="begin"/>
            </w:r>
            <w:r w:rsidR="005B1E11">
              <w:rPr>
                <w:noProof/>
                <w:webHidden/>
              </w:rPr>
              <w:instrText xml:space="preserve"> PAGEREF _Toc447733819 \h </w:instrText>
            </w:r>
            <w:r w:rsidR="005B1E11">
              <w:rPr>
                <w:noProof/>
                <w:webHidden/>
              </w:rPr>
            </w:r>
            <w:r w:rsidR="005B1E11">
              <w:rPr>
                <w:noProof/>
                <w:webHidden/>
              </w:rPr>
              <w:fldChar w:fldCharType="separate"/>
            </w:r>
            <w:r w:rsidR="005B1E11">
              <w:rPr>
                <w:noProof/>
                <w:webHidden/>
              </w:rPr>
              <w:t>4</w:t>
            </w:r>
            <w:r w:rsidR="005B1E11">
              <w:rPr>
                <w:noProof/>
                <w:webHidden/>
              </w:rPr>
              <w:fldChar w:fldCharType="end"/>
            </w:r>
          </w:hyperlink>
        </w:p>
        <w:p w14:paraId="2EC06044" w14:textId="77777777" w:rsidR="005B1E11" w:rsidRDefault="002B14BC">
          <w:pPr>
            <w:pStyle w:val="TOC3"/>
            <w:tabs>
              <w:tab w:val="right" w:leader="dot" w:pos="9350"/>
            </w:tabs>
            <w:rPr>
              <w:rFonts w:eastAsiaTheme="minorEastAsia"/>
              <w:noProof/>
            </w:rPr>
          </w:pPr>
          <w:hyperlink w:anchor="_Toc447733820" w:history="1">
            <w:r w:rsidR="005B1E11" w:rsidRPr="00AA46F5">
              <w:rPr>
                <w:rStyle w:val="Hyperlink"/>
                <w:noProof/>
              </w:rPr>
              <w:t>State Population Weighted Centroid Analysis (State Totals &amp; Comparison to 2012 Analysis):</w:t>
            </w:r>
            <w:r w:rsidR="005B1E11">
              <w:rPr>
                <w:noProof/>
                <w:webHidden/>
              </w:rPr>
              <w:tab/>
            </w:r>
            <w:r w:rsidR="005B1E11">
              <w:rPr>
                <w:noProof/>
                <w:webHidden/>
              </w:rPr>
              <w:fldChar w:fldCharType="begin"/>
            </w:r>
            <w:r w:rsidR="005B1E11">
              <w:rPr>
                <w:noProof/>
                <w:webHidden/>
              </w:rPr>
              <w:instrText xml:space="preserve"> PAGEREF _Toc447733820 \h </w:instrText>
            </w:r>
            <w:r w:rsidR="005B1E11">
              <w:rPr>
                <w:noProof/>
                <w:webHidden/>
              </w:rPr>
            </w:r>
            <w:r w:rsidR="005B1E11">
              <w:rPr>
                <w:noProof/>
                <w:webHidden/>
              </w:rPr>
              <w:fldChar w:fldCharType="separate"/>
            </w:r>
            <w:r w:rsidR="005B1E11">
              <w:rPr>
                <w:noProof/>
                <w:webHidden/>
              </w:rPr>
              <w:t>4</w:t>
            </w:r>
            <w:r w:rsidR="005B1E11">
              <w:rPr>
                <w:noProof/>
                <w:webHidden/>
              </w:rPr>
              <w:fldChar w:fldCharType="end"/>
            </w:r>
          </w:hyperlink>
        </w:p>
        <w:p w14:paraId="2539D63D" w14:textId="77777777" w:rsidR="005B1E11" w:rsidRDefault="002B14BC">
          <w:pPr>
            <w:pStyle w:val="TOC3"/>
            <w:tabs>
              <w:tab w:val="right" w:leader="dot" w:pos="9350"/>
            </w:tabs>
            <w:rPr>
              <w:rFonts w:eastAsiaTheme="minorEastAsia"/>
              <w:noProof/>
            </w:rPr>
          </w:pPr>
          <w:hyperlink w:anchor="_Toc447733821" w:history="1">
            <w:r w:rsidR="005B1E11" w:rsidRPr="00AA46F5">
              <w:rPr>
                <w:rStyle w:val="Hyperlink"/>
                <w:noProof/>
              </w:rPr>
              <w:t>2011 Point Source Analysis</w:t>
            </w:r>
            <w:r w:rsidR="005B1E11">
              <w:rPr>
                <w:noProof/>
                <w:webHidden/>
              </w:rPr>
              <w:tab/>
            </w:r>
            <w:r w:rsidR="005B1E11">
              <w:rPr>
                <w:noProof/>
                <w:webHidden/>
              </w:rPr>
              <w:fldChar w:fldCharType="begin"/>
            </w:r>
            <w:r w:rsidR="005B1E11">
              <w:rPr>
                <w:noProof/>
                <w:webHidden/>
              </w:rPr>
              <w:instrText xml:space="preserve"> PAGEREF _Toc447733821 \h </w:instrText>
            </w:r>
            <w:r w:rsidR="005B1E11">
              <w:rPr>
                <w:noProof/>
                <w:webHidden/>
              </w:rPr>
            </w:r>
            <w:r w:rsidR="005B1E11">
              <w:rPr>
                <w:noProof/>
                <w:webHidden/>
              </w:rPr>
              <w:fldChar w:fldCharType="separate"/>
            </w:r>
            <w:r w:rsidR="005B1E11">
              <w:rPr>
                <w:noProof/>
                <w:webHidden/>
              </w:rPr>
              <w:t>6</w:t>
            </w:r>
            <w:r w:rsidR="005B1E11">
              <w:rPr>
                <w:noProof/>
                <w:webHidden/>
              </w:rPr>
              <w:fldChar w:fldCharType="end"/>
            </w:r>
          </w:hyperlink>
        </w:p>
        <w:p w14:paraId="36DCAB37" w14:textId="77777777" w:rsidR="005B1E11" w:rsidRDefault="002B14BC">
          <w:pPr>
            <w:pStyle w:val="TOC3"/>
            <w:tabs>
              <w:tab w:val="right" w:leader="dot" w:pos="9350"/>
            </w:tabs>
            <w:rPr>
              <w:rFonts w:eastAsiaTheme="minorEastAsia"/>
              <w:noProof/>
            </w:rPr>
          </w:pPr>
          <w:hyperlink w:anchor="_Toc447733822" w:history="1">
            <w:r w:rsidR="005B1E11" w:rsidRPr="00AA46F5">
              <w:rPr>
                <w:rStyle w:val="Hyperlink"/>
                <w:noProof/>
              </w:rPr>
              <w:t>Projected 2018 Contribution Estimates</w:t>
            </w:r>
            <w:r w:rsidR="005B1E11">
              <w:rPr>
                <w:noProof/>
                <w:webHidden/>
              </w:rPr>
              <w:tab/>
            </w:r>
            <w:r w:rsidR="005B1E11">
              <w:rPr>
                <w:noProof/>
                <w:webHidden/>
              </w:rPr>
              <w:fldChar w:fldCharType="begin"/>
            </w:r>
            <w:r w:rsidR="005B1E11">
              <w:rPr>
                <w:noProof/>
                <w:webHidden/>
              </w:rPr>
              <w:instrText xml:space="preserve"> PAGEREF _Toc447733822 \h </w:instrText>
            </w:r>
            <w:r w:rsidR="005B1E11">
              <w:rPr>
                <w:noProof/>
                <w:webHidden/>
              </w:rPr>
            </w:r>
            <w:r w:rsidR="005B1E11">
              <w:rPr>
                <w:noProof/>
                <w:webHidden/>
              </w:rPr>
              <w:fldChar w:fldCharType="separate"/>
            </w:r>
            <w:r w:rsidR="005B1E11">
              <w:rPr>
                <w:noProof/>
                <w:webHidden/>
              </w:rPr>
              <w:t>9</w:t>
            </w:r>
            <w:r w:rsidR="005B1E11">
              <w:rPr>
                <w:noProof/>
                <w:webHidden/>
              </w:rPr>
              <w:fldChar w:fldCharType="end"/>
            </w:r>
          </w:hyperlink>
        </w:p>
        <w:p w14:paraId="4AA13AA4" w14:textId="77777777" w:rsidR="005B1E11" w:rsidRDefault="002B14BC">
          <w:pPr>
            <w:pStyle w:val="TOC2"/>
            <w:tabs>
              <w:tab w:val="right" w:leader="dot" w:pos="9350"/>
            </w:tabs>
            <w:rPr>
              <w:rFonts w:eastAsiaTheme="minorEastAsia"/>
              <w:noProof/>
            </w:rPr>
          </w:pPr>
          <w:hyperlink w:anchor="_Toc447733823" w:history="1">
            <w:r w:rsidR="005B1E11" w:rsidRPr="00AA46F5">
              <w:rPr>
                <w:rStyle w:val="Hyperlink"/>
                <w:noProof/>
              </w:rPr>
              <w:t>Conclusions</w:t>
            </w:r>
            <w:r w:rsidR="005B1E11">
              <w:rPr>
                <w:noProof/>
                <w:webHidden/>
              </w:rPr>
              <w:tab/>
            </w:r>
            <w:r w:rsidR="005B1E11">
              <w:rPr>
                <w:noProof/>
                <w:webHidden/>
              </w:rPr>
              <w:fldChar w:fldCharType="begin"/>
            </w:r>
            <w:r w:rsidR="005B1E11">
              <w:rPr>
                <w:noProof/>
                <w:webHidden/>
              </w:rPr>
              <w:instrText xml:space="preserve"> PAGEREF _Toc447733823 \h </w:instrText>
            </w:r>
            <w:r w:rsidR="005B1E11">
              <w:rPr>
                <w:noProof/>
                <w:webHidden/>
              </w:rPr>
            </w:r>
            <w:r w:rsidR="005B1E11">
              <w:rPr>
                <w:noProof/>
                <w:webHidden/>
              </w:rPr>
              <w:fldChar w:fldCharType="separate"/>
            </w:r>
            <w:r w:rsidR="005B1E11">
              <w:rPr>
                <w:noProof/>
                <w:webHidden/>
              </w:rPr>
              <w:t>19</w:t>
            </w:r>
            <w:r w:rsidR="005B1E11">
              <w:rPr>
                <w:noProof/>
                <w:webHidden/>
              </w:rPr>
              <w:fldChar w:fldCharType="end"/>
            </w:r>
          </w:hyperlink>
        </w:p>
        <w:p w14:paraId="10430793" w14:textId="0C3942D3" w:rsidR="00EE09F4" w:rsidRDefault="00EE09F4">
          <w:r>
            <w:rPr>
              <w:b/>
              <w:bCs/>
              <w:noProof/>
            </w:rPr>
            <w:fldChar w:fldCharType="end"/>
          </w:r>
        </w:p>
      </w:sdtContent>
    </w:sdt>
    <w:p w14:paraId="2DCF7BE0" w14:textId="04CD63D8" w:rsidR="0046507E" w:rsidRDefault="0046507E"/>
    <w:p w14:paraId="53A4FE77" w14:textId="045DF5DD" w:rsidR="0046507E" w:rsidRDefault="0046507E" w:rsidP="0046507E">
      <w:pPr>
        <w:pStyle w:val="Heading3"/>
      </w:pPr>
      <w:bookmarkStart w:id="0" w:name="_Toc447733815"/>
      <w:r>
        <w:t>Figures</w:t>
      </w:r>
      <w:bookmarkEnd w:id="0"/>
    </w:p>
    <w:p w14:paraId="2593C372" w14:textId="77777777" w:rsidR="005B1E11" w:rsidRDefault="0046507E">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447733824" w:history="1">
        <w:r w:rsidR="005B1E11" w:rsidRPr="0070304B">
          <w:rPr>
            <w:rStyle w:val="Hyperlink"/>
            <w:noProof/>
          </w:rPr>
          <w:t>Figure 1. Receptors for the 2015 C</w:t>
        </w:r>
        <w:r w:rsidR="005B1E11" w:rsidRPr="0070304B">
          <w:rPr>
            <w:rStyle w:val="Hyperlink"/>
            <w:noProof/>
            <w:vertAlign w:val="subscript"/>
          </w:rPr>
          <w:t>i</w:t>
        </w:r>
        <w:r w:rsidR="005B1E11" w:rsidRPr="0070304B">
          <w:rPr>
            <w:rStyle w:val="Hyperlink"/>
            <w:noProof/>
          </w:rPr>
          <w:t>(Q/d)  Analysis</w:t>
        </w:r>
        <w:r w:rsidR="005B1E11">
          <w:rPr>
            <w:noProof/>
            <w:webHidden/>
          </w:rPr>
          <w:tab/>
        </w:r>
        <w:r w:rsidR="005B1E11">
          <w:rPr>
            <w:noProof/>
            <w:webHidden/>
          </w:rPr>
          <w:fldChar w:fldCharType="begin"/>
        </w:r>
        <w:r w:rsidR="005B1E11">
          <w:rPr>
            <w:noProof/>
            <w:webHidden/>
          </w:rPr>
          <w:instrText xml:space="preserve"> PAGEREF _Toc447733824 \h </w:instrText>
        </w:r>
        <w:r w:rsidR="005B1E11">
          <w:rPr>
            <w:noProof/>
            <w:webHidden/>
          </w:rPr>
        </w:r>
        <w:r w:rsidR="005B1E11">
          <w:rPr>
            <w:noProof/>
            <w:webHidden/>
          </w:rPr>
          <w:fldChar w:fldCharType="separate"/>
        </w:r>
        <w:r w:rsidR="005B1E11">
          <w:rPr>
            <w:noProof/>
            <w:webHidden/>
          </w:rPr>
          <w:t>2</w:t>
        </w:r>
        <w:r w:rsidR="005B1E11">
          <w:rPr>
            <w:noProof/>
            <w:webHidden/>
          </w:rPr>
          <w:fldChar w:fldCharType="end"/>
        </w:r>
      </w:hyperlink>
    </w:p>
    <w:p w14:paraId="30BDC26F" w14:textId="77777777" w:rsidR="005B1E11" w:rsidRDefault="002B14BC">
      <w:pPr>
        <w:pStyle w:val="TableofFigures"/>
        <w:tabs>
          <w:tab w:val="right" w:leader="dot" w:pos="9350"/>
        </w:tabs>
        <w:rPr>
          <w:rFonts w:eastAsiaTheme="minorEastAsia"/>
          <w:noProof/>
        </w:rPr>
      </w:pPr>
      <w:hyperlink w:anchor="_Toc447733825" w:history="1">
        <w:r w:rsidR="005B1E11" w:rsidRPr="0070304B">
          <w:rPr>
            <w:rStyle w:val="Hyperlink"/>
            <w:noProof/>
          </w:rPr>
          <w:t>Figure 2. 2013-2014 Monitored Extinction on 20 Haziest Days, Expressed as Percentage of Extinction</w:t>
        </w:r>
        <w:r w:rsidR="005B1E11">
          <w:rPr>
            <w:noProof/>
            <w:webHidden/>
          </w:rPr>
          <w:tab/>
        </w:r>
        <w:r w:rsidR="005B1E11">
          <w:rPr>
            <w:noProof/>
            <w:webHidden/>
          </w:rPr>
          <w:fldChar w:fldCharType="begin"/>
        </w:r>
        <w:r w:rsidR="005B1E11">
          <w:rPr>
            <w:noProof/>
            <w:webHidden/>
          </w:rPr>
          <w:instrText xml:space="preserve"> PAGEREF _Toc447733825 \h </w:instrText>
        </w:r>
        <w:r w:rsidR="005B1E11">
          <w:rPr>
            <w:noProof/>
            <w:webHidden/>
          </w:rPr>
        </w:r>
        <w:r w:rsidR="005B1E11">
          <w:rPr>
            <w:noProof/>
            <w:webHidden/>
          </w:rPr>
          <w:fldChar w:fldCharType="separate"/>
        </w:r>
        <w:r w:rsidR="005B1E11">
          <w:rPr>
            <w:noProof/>
            <w:webHidden/>
          </w:rPr>
          <w:t>3</w:t>
        </w:r>
        <w:r w:rsidR="005B1E11">
          <w:rPr>
            <w:noProof/>
            <w:webHidden/>
          </w:rPr>
          <w:fldChar w:fldCharType="end"/>
        </w:r>
      </w:hyperlink>
    </w:p>
    <w:p w14:paraId="7AD8E3E1" w14:textId="77777777" w:rsidR="005B1E11" w:rsidRDefault="002B14BC">
      <w:pPr>
        <w:pStyle w:val="TableofFigures"/>
        <w:tabs>
          <w:tab w:val="right" w:leader="dot" w:pos="9350"/>
        </w:tabs>
        <w:rPr>
          <w:rFonts w:eastAsiaTheme="minorEastAsia"/>
          <w:noProof/>
        </w:rPr>
      </w:pPr>
      <w:hyperlink w:anchor="_Toc447733826" w:history="1">
        <w:r w:rsidR="005B1E11" w:rsidRPr="0070304B">
          <w:rPr>
            <w:rStyle w:val="Hyperlink"/>
            <w:noProof/>
          </w:rPr>
          <w:t>Figure 3. Wind Sector Constants and the State Total Emissions and the Locations</w:t>
        </w:r>
        <w:r w:rsidR="005B1E11">
          <w:rPr>
            <w:noProof/>
            <w:webHidden/>
          </w:rPr>
          <w:tab/>
        </w:r>
        <w:r w:rsidR="005B1E11">
          <w:rPr>
            <w:noProof/>
            <w:webHidden/>
          </w:rPr>
          <w:fldChar w:fldCharType="begin"/>
        </w:r>
        <w:r w:rsidR="005B1E11">
          <w:rPr>
            <w:noProof/>
            <w:webHidden/>
          </w:rPr>
          <w:instrText xml:space="preserve"> PAGEREF _Toc447733826 \h </w:instrText>
        </w:r>
        <w:r w:rsidR="005B1E11">
          <w:rPr>
            <w:noProof/>
            <w:webHidden/>
          </w:rPr>
        </w:r>
        <w:r w:rsidR="005B1E11">
          <w:rPr>
            <w:noProof/>
            <w:webHidden/>
          </w:rPr>
          <w:fldChar w:fldCharType="separate"/>
        </w:r>
        <w:r w:rsidR="005B1E11">
          <w:rPr>
            <w:noProof/>
            <w:webHidden/>
          </w:rPr>
          <w:t>8</w:t>
        </w:r>
        <w:r w:rsidR="005B1E11">
          <w:rPr>
            <w:noProof/>
            <w:webHidden/>
          </w:rPr>
          <w:fldChar w:fldCharType="end"/>
        </w:r>
      </w:hyperlink>
    </w:p>
    <w:p w14:paraId="6DAB1A7C" w14:textId="77777777" w:rsidR="005B1E11" w:rsidRDefault="002B14BC">
      <w:pPr>
        <w:pStyle w:val="TableofFigures"/>
        <w:tabs>
          <w:tab w:val="right" w:leader="dot" w:pos="9350"/>
        </w:tabs>
        <w:rPr>
          <w:rFonts w:eastAsiaTheme="minorEastAsia"/>
          <w:noProof/>
        </w:rPr>
      </w:pPr>
      <w:hyperlink w:anchor="_Toc447733827" w:history="1">
        <w:r w:rsidR="005B1E11" w:rsidRPr="0070304B">
          <w:rPr>
            <w:rStyle w:val="Hyperlink"/>
            <w:noProof/>
          </w:rPr>
          <w:t>Figure 4. Wind Vectors Point Source Emissions and Their Locations (2011 Emissions)</w:t>
        </w:r>
        <w:r w:rsidR="005B1E11">
          <w:rPr>
            <w:noProof/>
            <w:webHidden/>
          </w:rPr>
          <w:tab/>
        </w:r>
        <w:r w:rsidR="005B1E11">
          <w:rPr>
            <w:noProof/>
            <w:webHidden/>
          </w:rPr>
          <w:fldChar w:fldCharType="begin"/>
        </w:r>
        <w:r w:rsidR="005B1E11">
          <w:rPr>
            <w:noProof/>
            <w:webHidden/>
          </w:rPr>
          <w:instrText xml:space="preserve"> PAGEREF _Toc447733827 \h </w:instrText>
        </w:r>
        <w:r w:rsidR="005B1E11">
          <w:rPr>
            <w:noProof/>
            <w:webHidden/>
          </w:rPr>
        </w:r>
        <w:r w:rsidR="005B1E11">
          <w:rPr>
            <w:noProof/>
            <w:webHidden/>
          </w:rPr>
          <w:fldChar w:fldCharType="separate"/>
        </w:r>
        <w:r w:rsidR="005B1E11">
          <w:rPr>
            <w:noProof/>
            <w:webHidden/>
          </w:rPr>
          <w:t>8</w:t>
        </w:r>
        <w:r w:rsidR="005B1E11">
          <w:rPr>
            <w:noProof/>
            <w:webHidden/>
          </w:rPr>
          <w:fldChar w:fldCharType="end"/>
        </w:r>
      </w:hyperlink>
    </w:p>
    <w:p w14:paraId="5823E8AD" w14:textId="77777777" w:rsidR="005B1E11" w:rsidRDefault="002B14BC">
      <w:pPr>
        <w:pStyle w:val="TableofFigures"/>
        <w:tabs>
          <w:tab w:val="right" w:leader="dot" w:pos="9350"/>
        </w:tabs>
        <w:rPr>
          <w:rFonts w:eastAsiaTheme="minorEastAsia"/>
          <w:noProof/>
        </w:rPr>
      </w:pPr>
      <w:hyperlink w:anchor="_Toc447733828" w:history="1">
        <w:r w:rsidR="005B1E11" w:rsidRPr="0070304B">
          <w:rPr>
            <w:rStyle w:val="Hyperlink"/>
            <w:noProof/>
          </w:rPr>
          <w:t>Figure 5: Average and maximum state point source contribution to monitored class I areas for 2011 and 2018</w:t>
        </w:r>
        <w:r w:rsidR="005B1E11">
          <w:rPr>
            <w:noProof/>
            <w:webHidden/>
          </w:rPr>
          <w:tab/>
        </w:r>
        <w:r w:rsidR="005B1E11">
          <w:rPr>
            <w:noProof/>
            <w:webHidden/>
          </w:rPr>
          <w:fldChar w:fldCharType="begin"/>
        </w:r>
        <w:r w:rsidR="005B1E11">
          <w:rPr>
            <w:noProof/>
            <w:webHidden/>
          </w:rPr>
          <w:instrText xml:space="preserve"> PAGEREF _Toc447733828 \h </w:instrText>
        </w:r>
        <w:r w:rsidR="005B1E11">
          <w:rPr>
            <w:noProof/>
            <w:webHidden/>
          </w:rPr>
        </w:r>
        <w:r w:rsidR="005B1E11">
          <w:rPr>
            <w:noProof/>
            <w:webHidden/>
          </w:rPr>
          <w:fldChar w:fldCharType="separate"/>
        </w:r>
        <w:r w:rsidR="005B1E11">
          <w:rPr>
            <w:noProof/>
            <w:webHidden/>
          </w:rPr>
          <w:t>10</w:t>
        </w:r>
        <w:r w:rsidR="005B1E11">
          <w:rPr>
            <w:noProof/>
            <w:webHidden/>
          </w:rPr>
          <w:fldChar w:fldCharType="end"/>
        </w:r>
      </w:hyperlink>
    </w:p>
    <w:p w14:paraId="74A228C2" w14:textId="77777777" w:rsidR="005B1E11" w:rsidRDefault="002B14BC">
      <w:pPr>
        <w:pStyle w:val="TableofFigures"/>
        <w:tabs>
          <w:tab w:val="right" w:leader="dot" w:pos="9350"/>
        </w:tabs>
        <w:rPr>
          <w:rFonts w:eastAsiaTheme="minorEastAsia"/>
          <w:noProof/>
        </w:rPr>
      </w:pPr>
      <w:hyperlink w:anchor="_Toc447733829" w:history="1">
        <w:r w:rsidR="005B1E11" w:rsidRPr="0070304B">
          <w:rPr>
            <w:rStyle w:val="Hyperlink"/>
            <w:noProof/>
          </w:rPr>
          <w:t>Figure 6. Total point contributions (and percent of total contribution in labels)  for 2011 actual and 2018 projections for state in OTC modeling domain.</w:t>
        </w:r>
        <w:r w:rsidR="005B1E11">
          <w:rPr>
            <w:noProof/>
            <w:webHidden/>
          </w:rPr>
          <w:tab/>
        </w:r>
        <w:r w:rsidR="005B1E11">
          <w:rPr>
            <w:noProof/>
            <w:webHidden/>
          </w:rPr>
          <w:fldChar w:fldCharType="begin"/>
        </w:r>
        <w:r w:rsidR="005B1E11">
          <w:rPr>
            <w:noProof/>
            <w:webHidden/>
          </w:rPr>
          <w:instrText xml:space="preserve"> PAGEREF _Toc447733829 \h </w:instrText>
        </w:r>
        <w:r w:rsidR="005B1E11">
          <w:rPr>
            <w:noProof/>
            <w:webHidden/>
          </w:rPr>
        </w:r>
        <w:r w:rsidR="005B1E11">
          <w:rPr>
            <w:noProof/>
            <w:webHidden/>
          </w:rPr>
          <w:fldChar w:fldCharType="separate"/>
        </w:r>
        <w:r w:rsidR="005B1E11">
          <w:rPr>
            <w:noProof/>
            <w:webHidden/>
          </w:rPr>
          <w:t>11</w:t>
        </w:r>
        <w:r w:rsidR="005B1E11">
          <w:rPr>
            <w:noProof/>
            <w:webHidden/>
          </w:rPr>
          <w:fldChar w:fldCharType="end"/>
        </w:r>
      </w:hyperlink>
    </w:p>
    <w:p w14:paraId="0C029A9C" w14:textId="77777777" w:rsidR="005B1E11" w:rsidRDefault="002B14BC">
      <w:pPr>
        <w:pStyle w:val="TableofFigures"/>
        <w:tabs>
          <w:tab w:val="right" w:leader="dot" w:pos="9350"/>
        </w:tabs>
        <w:rPr>
          <w:rFonts w:eastAsiaTheme="minorEastAsia"/>
          <w:noProof/>
        </w:rPr>
      </w:pPr>
      <w:hyperlink w:anchor="_Toc447733830" w:history="1">
        <w:r w:rsidR="005B1E11" w:rsidRPr="0070304B">
          <w:rPr>
            <w:rStyle w:val="Hyperlink"/>
            <w:noProof/>
          </w:rPr>
          <w:t>Figure 7: Impact on Class 1 Areas by Point Sectors</w:t>
        </w:r>
        <w:r w:rsidR="005B1E11">
          <w:rPr>
            <w:noProof/>
            <w:webHidden/>
          </w:rPr>
          <w:tab/>
        </w:r>
        <w:r w:rsidR="005B1E11">
          <w:rPr>
            <w:noProof/>
            <w:webHidden/>
          </w:rPr>
          <w:fldChar w:fldCharType="begin"/>
        </w:r>
        <w:r w:rsidR="005B1E11">
          <w:rPr>
            <w:noProof/>
            <w:webHidden/>
          </w:rPr>
          <w:instrText xml:space="preserve"> PAGEREF _Toc447733830 \h </w:instrText>
        </w:r>
        <w:r w:rsidR="005B1E11">
          <w:rPr>
            <w:noProof/>
            <w:webHidden/>
          </w:rPr>
        </w:r>
        <w:r w:rsidR="005B1E11">
          <w:rPr>
            <w:noProof/>
            <w:webHidden/>
          </w:rPr>
          <w:fldChar w:fldCharType="separate"/>
        </w:r>
        <w:r w:rsidR="005B1E11">
          <w:rPr>
            <w:noProof/>
            <w:webHidden/>
          </w:rPr>
          <w:t>16</w:t>
        </w:r>
        <w:r w:rsidR="005B1E11">
          <w:rPr>
            <w:noProof/>
            <w:webHidden/>
          </w:rPr>
          <w:fldChar w:fldCharType="end"/>
        </w:r>
      </w:hyperlink>
    </w:p>
    <w:p w14:paraId="5AF1F729" w14:textId="77777777" w:rsidR="005B1E11" w:rsidRDefault="002B14BC">
      <w:pPr>
        <w:pStyle w:val="TableofFigures"/>
        <w:tabs>
          <w:tab w:val="right" w:leader="dot" w:pos="9350"/>
        </w:tabs>
        <w:rPr>
          <w:rFonts w:eastAsiaTheme="minorEastAsia"/>
          <w:noProof/>
        </w:rPr>
      </w:pPr>
      <w:hyperlink w:anchor="_Toc447733831" w:history="1">
        <w:r w:rsidR="005B1E11" w:rsidRPr="0070304B">
          <w:rPr>
            <w:rStyle w:val="Hyperlink"/>
            <w:noProof/>
          </w:rPr>
          <w:t>Figure 8: Relative Impact on Class 1 Areas by Point Sectors</w:t>
        </w:r>
        <w:r w:rsidR="005B1E11">
          <w:rPr>
            <w:noProof/>
            <w:webHidden/>
          </w:rPr>
          <w:tab/>
        </w:r>
        <w:r w:rsidR="005B1E11">
          <w:rPr>
            <w:noProof/>
            <w:webHidden/>
          </w:rPr>
          <w:fldChar w:fldCharType="begin"/>
        </w:r>
        <w:r w:rsidR="005B1E11">
          <w:rPr>
            <w:noProof/>
            <w:webHidden/>
          </w:rPr>
          <w:instrText xml:space="preserve"> PAGEREF _Toc447733831 \h </w:instrText>
        </w:r>
        <w:r w:rsidR="005B1E11">
          <w:rPr>
            <w:noProof/>
            <w:webHidden/>
          </w:rPr>
        </w:r>
        <w:r w:rsidR="005B1E11">
          <w:rPr>
            <w:noProof/>
            <w:webHidden/>
          </w:rPr>
          <w:fldChar w:fldCharType="separate"/>
        </w:r>
        <w:r w:rsidR="005B1E11">
          <w:rPr>
            <w:noProof/>
            <w:webHidden/>
          </w:rPr>
          <w:t>17</w:t>
        </w:r>
        <w:r w:rsidR="005B1E11">
          <w:rPr>
            <w:noProof/>
            <w:webHidden/>
          </w:rPr>
          <w:fldChar w:fldCharType="end"/>
        </w:r>
      </w:hyperlink>
    </w:p>
    <w:p w14:paraId="0FA3CB58" w14:textId="77777777" w:rsidR="005B1E11" w:rsidRDefault="002B14BC">
      <w:pPr>
        <w:pStyle w:val="TableofFigures"/>
        <w:tabs>
          <w:tab w:val="right" w:leader="dot" w:pos="9350"/>
        </w:tabs>
        <w:rPr>
          <w:rFonts w:eastAsiaTheme="minorEastAsia"/>
          <w:noProof/>
        </w:rPr>
      </w:pPr>
      <w:hyperlink w:anchor="_Toc447733832" w:history="1">
        <w:r w:rsidR="005B1E11" w:rsidRPr="0070304B">
          <w:rPr>
            <w:rStyle w:val="Hyperlink"/>
            <w:noProof/>
          </w:rPr>
          <w:t>Figure 9: Relative Impact of EGU Point Source SCCs on Acadia, Brigantine, Great Gulf, Lye Brook, and Moosehorn (inner to outer)</w:t>
        </w:r>
        <w:r w:rsidR="005B1E11">
          <w:rPr>
            <w:noProof/>
            <w:webHidden/>
          </w:rPr>
          <w:tab/>
        </w:r>
        <w:r w:rsidR="005B1E11">
          <w:rPr>
            <w:noProof/>
            <w:webHidden/>
          </w:rPr>
          <w:fldChar w:fldCharType="begin"/>
        </w:r>
        <w:r w:rsidR="005B1E11">
          <w:rPr>
            <w:noProof/>
            <w:webHidden/>
          </w:rPr>
          <w:instrText xml:space="preserve"> PAGEREF _Toc447733832 \h </w:instrText>
        </w:r>
        <w:r w:rsidR="005B1E11">
          <w:rPr>
            <w:noProof/>
            <w:webHidden/>
          </w:rPr>
        </w:r>
        <w:r w:rsidR="005B1E11">
          <w:rPr>
            <w:noProof/>
            <w:webHidden/>
          </w:rPr>
          <w:fldChar w:fldCharType="separate"/>
        </w:r>
        <w:r w:rsidR="005B1E11">
          <w:rPr>
            <w:noProof/>
            <w:webHidden/>
          </w:rPr>
          <w:t>18</w:t>
        </w:r>
        <w:r w:rsidR="005B1E11">
          <w:rPr>
            <w:noProof/>
            <w:webHidden/>
          </w:rPr>
          <w:fldChar w:fldCharType="end"/>
        </w:r>
      </w:hyperlink>
    </w:p>
    <w:p w14:paraId="19BCB494" w14:textId="77777777" w:rsidR="005B1E11" w:rsidRDefault="002B14BC">
      <w:pPr>
        <w:pStyle w:val="TableofFigures"/>
        <w:tabs>
          <w:tab w:val="right" w:leader="dot" w:pos="9350"/>
        </w:tabs>
        <w:rPr>
          <w:rFonts w:eastAsiaTheme="minorEastAsia"/>
          <w:noProof/>
        </w:rPr>
      </w:pPr>
      <w:hyperlink r:id="rId10" w:anchor="_Toc447733833" w:history="1">
        <w:r w:rsidR="005B1E11" w:rsidRPr="0070304B">
          <w:rPr>
            <w:rStyle w:val="Hyperlink"/>
            <w:noProof/>
          </w:rPr>
          <w:t>Figure 10. 2011 and 2018 Point Emissions</w:t>
        </w:r>
        <w:r w:rsidR="005B1E11">
          <w:rPr>
            <w:noProof/>
            <w:webHidden/>
          </w:rPr>
          <w:tab/>
        </w:r>
        <w:r w:rsidR="005B1E11">
          <w:rPr>
            <w:noProof/>
            <w:webHidden/>
          </w:rPr>
          <w:fldChar w:fldCharType="begin"/>
        </w:r>
        <w:r w:rsidR="005B1E11">
          <w:rPr>
            <w:noProof/>
            <w:webHidden/>
          </w:rPr>
          <w:instrText xml:space="preserve"> PAGEREF _Toc447733833 \h </w:instrText>
        </w:r>
        <w:r w:rsidR="005B1E11">
          <w:rPr>
            <w:noProof/>
            <w:webHidden/>
          </w:rPr>
        </w:r>
        <w:r w:rsidR="005B1E11">
          <w:rPr>
            <w:noProof/>
            <w:webHidden/>
          </w:rPr>
          <w:fldChar w:fldCharType="separate"/>
        </w:r>
        <w:r w:rsidR="005B1E11">
          <w:rPr>
            <w:noProof/>
            <w:webHidden/>
          </w:rPr>
          <w:t>20</w:t>
        </w:r>
        <w:r w:rsidR="005B1E11">
          <w:rPr>
            <w:noProof/>
            <w:webHidden/>
          </w:rPr>
          <w:fldChar w:fldCharType="end"/>
        </w:r>
      </w:hyperlink>
    </w:p>
    <w:p w14:paraId="567BFF34" w14:textId="77777777" w:rsidR="0046507E" w:rsidRDefault="0046507E">
      <w:r>
        <w:fldChar w:fldCharType="end"/>
      </w:r>
    </w:p>
    <w:p w14:paraId="3C0AC615" w14:textId="23ADD7C8" w:rsidR="0046507E" w:rsidRDefault="0046507E" w:rsidP="0046507E">
      <w:pPr>
        <w:pStyle w:val="Heading3"/>
      </w:pPr>
      <w:bookmarkStart w:id="1" w:name="_Toc447733816"/>
      <w:r>
        <w:t>Tables</w:t>
      </w:r>
      <w:bookmarkEnd w:id="1"/>
    </w:p>
    <w:p w14:paraId="099EEE37" w14:textId="77777777" w:rsidR="005B1E11" w:rsidRDefault="0046507E">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447733834" w:history="1">
        <w:r w:rsidR="005B1E11" w:rsidRPr="00DF03FF">
          <w:rPr>
            <w:rStyle w:val="Hyperlink"/>
            <w:noProof/>
          </w:rPr>
          <w:t>Table 1. Top Five Contributing U.S. States for Total State SO</w:t>
        </w:r>
        <w:r w:rsidR="005B1E11" w:rsidRPr="00DF03FF">
          <w:rPr>
            <w:rStyle w:val="Hyperlink"/>
            <w:noProof/>
            <w:vertAlign w:val="subscript"/>
          </w:rPr>
          <w:t>2</w:t>
        </w:r>
        <w:r w:rsidR="005B1E11" w:rsidRPr="00DF03FF">
          <w:rPr>
            <w:rStyle w:val="Hyperlink"/>
            <w:noProof/>
          </w:rPr>
          <w:t xml:space="preserve"> Emissions over the Three Analyses</w:t>
        </w:r>
        <w:r w:rsidR="005B1E11">
          <w:rPr>
            <w:noProof/>
            <w:webHidden/>
          </w:rPr>
          <w:tab/>
        </w:r>
        <w:r w:rsidR="005B1E11">
          <w:rPr>
            <w:noProof/>
            <w:webHidden/>
          </w:rPr>
          <w:fldChar w:fldCharType="begin"/>
        </w:r>
        <w:r w:rsidR="005B1E11">
          <w:rPr>
            <w:noProof/>
            <w:webHidden/>
          </w:rPr>
          <w:instrText xml:space="preserve"> PAGEREF _Toc447733834 \h </w:instrText>
        </w:r>
        <w:r w:rsidR="005B1E11">
          <w:rPr>
            <w:noProof/>
            <w:webHidden/>
          </w:rPr>
        </w:r>
        <w:r w:rsidR="005B1E11">
          <w:rPr>
            <w:noProof/>
            <w:webHidden/>
          </w:rPr>
          <w:fldChar w:fldCharType="separate"/>
        </w:r>
        <w:r w:rsidR="005B1E11">
          <w:rPr>
            <w:noProof/>
            <w:webHidden/>
          </w:rPr>
          <w:t>4</w:t>
        </w:r>
        <w:r w:rsidR="005B1E11">
          <w:rPr>
            <w:noProof/>
            <w:webHidden/>
          </w:rPr>
          <w:fldChar w:fldCharType="end"/>
        </w:r>
      </w:hyperlink>
    </w:p>
    <w:p w14:paraId="31256C41" w14:textId="77777777" w:rsidR="005B1E11" w:rsidRDefault="002B14BC">
      <w:pPr>
        <w:pStyle w:val="TableofFigures"/>
        <w:tabs>
          <w:tab w:val="right" w:leader="dot" w:pos="9350"/>
        </w:tabs>
        <w:rPr>
          <w:rFonts w:eastAsiaTheme="minorEastAsia"/>
          <w:noProof/>
        </w:rPr>
      </w:pPr>
      <w:hyperlink w:anchor="_Toc447733835" w:history="1">
        <w:r w:rsidR="005B1E11" w:rsidRPr="00DF03FF">
          <w:rPr>
            <w:rStyle w:val="Hyperlink"/>
            <w:noProof/>
          </w:rPr>
          <w:t>Table 2. Comparison of State Emissions Contributions from 2007 Emissions and 2011 Emissions.</w:t>
        </w:r>
        <w:r w:rsidR="005B1E11">
          <w:rPr>
            <w:noProof/>
            <w:webHidden/>
          </w:rPr>
          <w:tab/>
        </w:r>
        <w:r w:rsidR="005B1E11">
          <w:rPr>
            <w:noProof/>
            <w:webHidden/>
          </w:rPr>
          <w:fldChar w:fldCharType="begin"/>
        </w:r>
        <w:r w:rsidR="005B1E11">
          <w:rPr>
            <w:noProof/>
            <w:webHidden/>
          </w:rPr>
          <w:instrText xml:space="preserve"> PAGEREF _Toc447733835 \h </w:instrText>
        </w:r>
        <w:r w:rsidR="005B1E11">
          <w:rPr>
            <w:noProof/>
            <w:webHidden/>
          </w:rPr>
        </w:r>
        <w:r w:rsidR="005B1E11">
          <w:rPr>
            <w:noProof/>
            <w:webHidden/>
          </w:rPr>
          <w:fldChar w:fldCharType="separate"/>
        </w:r>
        <w:r w:rsidR="005B1E11">
          <w:rPr>
            <w:noProof/>
            <w:webHidden/>
          </w:rPr>
          <w:t>6</w:t>
        </w:r>
        <w:r w:rsidR="005B1E11">
          <w:rPr>
            <w:noProof/>
            <w:webHidden/>
          </w:rPr>
          <w:fldChar w:fldCharType="end"/>
        </w:r>
      </w:hyperlink>
    </w:p>
    <w:p w14:paraId="03B6BCE7" w14:textId="77777777" w:rsidR="005B1E11" w:rsidRDefault="002B14BC">
      <w:pPr>
        <w:pStyle w:val="TableofFigures"/>
        <w:tabs>
          <w:tab w:val="right" w:leader="dot" w:pos="9350"/>
        </w:tabs>
        <w:rPr>
          <w:rFonts w:eastAsiaTheme="minorEastAsia"/>
          <w:noProof/>
        </w:rPr>
      </w:pPr>
      <w:hyperlink w:anchor="_Toc447733836" w:history="1">
        <w:r w:rsidR="005B1E11" w:rsidRPr="00DF03FF">
          <w:rPr>
            <w:rStyle w:val="Hyperlink"/>
            <w:noProof/>
          </w:rPr>
          <w:t>Table 3. Top Five Ranking Contributing States of Point Only and Population Weighted Centroid Methodology</w:t>
        </w:r>
        <w:r w:rsidR="005B1E11">
          <w:rPr>
            <w:noProof/>
            <w:webHidden/>
          </w:rPr>
          <w:tab/>
        </w:r>
        <w:r w:rsidR="005B1E11">
          <w:rPr>
            <w:noProof/>
            <w:webHidden/>
          </w:rPr>
          <w:fldChar w:fldCharType="begin"/>
        </w:r>
        <w:r w:rsidR="005B1E11">
          <w:rPr>
            <w:noProof/>
            <w:webHidden/>
          </w:rPr>
          <w:instrText xml:space="preserve"> PAGEREF _Toc447733836 \h </w:instrText>
        </w:r>
        <w:r w:rsidR="005B1E11">
          <w:rPr>
            <w:noProof/>
            <w:webHidden/>
          </w:rPr>
        </w:r>
        <w:r w:rsidR="005B1E11">
          <w:rPr>
            <w:noProof/>
            <w:webHidden/>
          </w:rPr>
          <w:fldChar w:fldCharType="separate"/>
        </w:r>
        <w:r w:rsidR="005B1E11">
          <w:rPr>
            <w:noProof/>
            <w:webHidden/>
          </w:rPr>
          <w:t>7</w:t>
        </w:r>
        <w:r w:rsidR="005B1E11">
          <w:rPr>
            <w:noProof/>
            <w:webHidden/>
          </w:rPr>
          <w:fldChar w:fldCharType="end"/>
        </w:r>
      </w:hyperlink>
    </w:p>
    <w:p w14:paraId="1479A1BE" w14:textId="77777777" w:rsidR="005B1E11" w:rsidRDefault="002B14BC">
      <w:pPr>
        <w:pStyle w:val="TableofFigures"/>
        <w:tabs>
          <w:tab w:val="right" w:leader="dot" w:pos="9350"/>
        </w:tabs>
        <w:rPr>
          <w:rFonts w:eastAsiaTheme="minorEastAsia"/>
          <w:noProof/>
        </w:rPr>
      </w:pPr>
      <w:hyperlink w:anchor="_Toc447733837" w:history="1">
        <w:r w:rsidR="005B1E11" w:rsidRPr="00DF03FF">
          <w:rPr>
            <w:rStyle w:val="Hyperlink"/>
            <w:noProof/>
          </w:rPr>
          <w:t>Table 4. States with the Five Greatest Point Contributions in 2011 and Projected for 2018</w:t>
        </w:r>
        <w:r w:rsidR="005B1E11">
          <w:rPr>
            <w:noProof/>
            <w:webHidden/>
          </w:rPr>
          <w:tab/>
        </w:r>
        <w:r w:rsidR="005B1E11">
          <w:rPr>
            <w:noProof/>
            <w:webHidden/>
          </w:rPr>
          <w:fldChar w:fldCharType="begin"/>
        </w:r>
        <w:r w:rsidR="005B1E11">
          <w:rPr>
            <w:noProof/>
            <w:webHidden/>
          </w:rPr>
          <w:instrText xml:space="preserve"> PAGEREF _Toc447733837 \h </w:instrText>
        </w:r>
        <w:r w:rsidR="005B1E11">
          <w:rPr>
            <w:noProof/>
            <w:webHidden/>
          </w:rPr>
        </w:r>
        <w:r w:rsidR="005B1E11">
          <w:rPr>
            <w:noProof/>
            <w:webHidden/>
          </w:rPr>
          <w:fldChar w:fldCharType="separate"/>
        </w:r>
        <w:r w:rsidR="005B1E11">
          <w:rPr>
            <w:noProof/>
            <w:webHidden/>
          </w:rPr>
          <w:t>9</w:t>
        </w:r>
        <w:r w:rsidR="005B1E11">
          <w:rPr>
            <w:noProof/>
            <w:webHidden/>
          </w:rPr>
          <w:fldChar w:fldCharType="end"/>
        </w:r>
      </w:hyperlink>
    </w:p>
    <w:p w14:paraId="2E39A161" w14:textId="77777777" w:rsidR="0046507E" w:rsidRPr="0046507E" w:rsidRDefault="0046507E">
      <w:r>
        <w:fldChar w:fldCharType="end"/>
      </w:r>
    </w:p>
    <w:p w14:paraId="7A0D8A3A" w14:textId="77777777" w:rsidR="00EE09F4" w:rsidRDefault="00EE09F4" w:rsidP="00D6515D">
      <w:pPr>
        <w:pStyle w:val="Heading2"/>
      </w:pPr>
    </w:p>
    <w:p w14:paraId="64057E6F" w14:textId="77777777" w:rsidR="0046507E" w:rsidRDefault="0046507E" w:rsidP="00D6515D">
      <w:pPr>
        <w:pStyle w:val="Heading2"/>
        <w:sectPr w:rsidR="0046507E" w:rsidSect="0046507E">
          <w:type w:val="continuous"/>
          <w:pgSz w:w="12240" w:h="15840"/>
          <w:pgMar w:top="1440" w:right="1440" w:bottom="1440" w:left="1440" w:header="720" w:footer="720" w:gutter="0"/>
          <w:pgNumType w:fmt="lowerRoman" w:start="1"/>
          <w:cols w:space="720"/>
          <w:titlePg/>
          <w:docGrid w:linePitch="360"/>
        </w:sectPr>
      </w:pPr>
    </w:p>
    <w:p w14:paraId="03D5B647" w14:textId="6BD4F69B" w:rsidR="00DD385D" w:rsidRDefault="00DD385D" w:rsidP="00D6515D">
      <w:pPr>
        <w:pStyle w:val="Heading2"/>
      </w:pPr>
      <w:bookmarkStart w:id="2" w:name="_Toc447733817"/>
      <w:r>
        <w:lastRenderedPageBreak/>
        <w:t>Background and Introduction</w:t>
      </w:r>
      <w:bookmarkEnd w:id="2"/>
    </w:p>
    <w:p w14:paraId="38BE7D5D" w14:textId="66FA843F" w:rsidR="00915557" w:rsidRDefault="00DD385D" w:rsidP="00F40B92">
      <w:pPr>
        <w:rPr>
          <w:iCs/>
        </w:rPr>
      </w:pPr>
      <w:r>
        <w:t xml:space="preserve">The </w:t>
      </w:r>
      <w:r w:rsidR="00EC31AC">
        <w:t xml:space="preserve">following </w:t>
      </w:r>
      <w:r>
        <w:t xml:space="preserve">analysis is a simplified method for estimating sulfate contributions to a receptor, known as the </w:t>
      </w:r>
      <w:r w:rsidR="00E24F39">
        <w:t>e</w:t>
      </w:r>
      <w:r>
        <w:t>missions over distance (Q/d) method.</w:t>
      </w:r>
      <w:r w:rsidR="007D462B">
        <w:t xml:space="preserve"> Q/d is </w:t>
      </w:r>
      <w:r w:rsidR="00F40B92">
        <w:t xml:space="preserve">largely accepted as a screening </w:t>
      </w:r>
      <w:r w:rsidR="00F25D5B">
        <w:t xml:space="preserve">tool and continues to be as in the conclusion of </w:t>
      </w:r>
      <w:r w:rsidR="007D462B">
        <w:t>a July 2015 report by an interagency air quality modeling work group.</w:t>
      </w:r>
      <w:r w:rsidR="00F25D5B">
        <w:rPr>
          <w:rStyle w:val="FootnoteReference"/>
        </w:rPr>
        <w:footnoteReference w:id="1"/>
      </w:r>
      <w:r w:rsidR="00F25D5B">
        <w:t xml:space="preserve"> </w:t>
      </w:r>
      <w:r w:rsidR="00F40B92">
        <w:t xml:space="preserve">NESCAUM previously employed this method in the </w:t>
      </w:r>
      <w:r w:rsidR="00F40B92">
        <w:rPr>
          <w:i/>
          <w:iCs/>
          <w:sz w:val="23"/>
          <w:szCs w:val="23"/>
        </w:rPr>
        <w:t>Contribution to Regional Haze in the Northeast and Mid-Atlantic United States</w:t>
      </w:r>
      <w:r w:rsidR="00084EC7">
        <w:rPr>
          <w:rStyle w:val="FootnoteReference"/>
          <w:sz w:val="23"/>
          <w:szCs w:val="23"/>
        </w:rPr>
        <w:footnoteReference w:id="2"/>
      </w:r>
      <w:r w:rsidR="00F40B92">
        <w:rPr>
          <w:sz w:val="23"/>
          <w:szCs w:val="23"/>
        </w:rPr>
        <w:t xml:space="preserve"> and the </w:t>
      </w:r>
      <w:r w:rsidR="00F40B92" w:rsidRPr="00F40B92">
        <w:rPr>
          <w:i/>
          <w:iCs/>
        </w:rPr>
        <w:t>Contributions to Regional Haze in the Northeast and Mid-Atlantic United States: Preliminary Update Thro</w:t>
      </w:r>
      <w:r w:rsidR="002B14BC">
        <w:rPr>
          <w:i/>
          <w:iCs/>
        </w:rPr>
        <w:t>ug</w:t>
      </w:r>
      <w:r w:rsidR="00F40B92" w:rsidRPr="00F40B92">
        <w:rPr>
          <w:i/>
          <w:iCs/>
        </w:rPr>
        <w:t>h 2007</w:t>
      </w:r>
      <w:r w:rsidR="00084EC7">
        <w:rPr>
          <w:rStyle w:val="FootnoteReference"/>
          <w:i/>
          <w:iCs/>
        </w:rPr>
        <w:footnoteReference w:id="3"/>
      </w:r>
      <w:r w:rsidR="00F40B92">
        <w:rPr>
          <w:iCs/>
        </w:rPr>
        <w:t xml:space="preserve">. </w:t>
      </w:r>
    </w:p>
    <w:p w14:paraId="7EDC1BC4" w14:textId="60A02CAC" w:rsidR="00F40B92" w:rsidRDefault="00F40B92" w:rsidP="00F40B92">
      <w:pPr>
        <w:rPr>
          <w:iCs/>
        </w:rPr>
      </w:pPr>
      <w:r>
        <w:rPr>
          <w:iCs/>
        </w:rPr>
        <w:t xml:space="preserve">This assessment primarily uses the methodology as in these previous two studies, any variances from the method are noted in the methods section below. </w:t>
      </w:r>
      <w:r w:rsidR="007D462B">
        <w:rPr>
          <w:iCs/>
        </w:rPr>
        <w:t>MANE-VU states discussed various options for determining the largest contributors for opening discussions and employing further analysis; including</w:t>
      </w:r>
      <w:r w:rsidR="00915557">
        <w:rPr>
          <w:iCs/>
        </w:rPr>
        <w:t>,</w:t>
      </w:r>
      <w:r w:rsidR="007D462B">
        <w:rPr>
          <w:iCs/>
        </w:rPr>
        <w:t xml:space="preserve"> but not limited to</w:t>
      </w:r>
      <w:r w:rsidR="00915557">
        <w:rPr>
          <w:iCs/>
        </w:rPr>
        <w:t>,</w:t>
      </w:r>
      <w:r w:rsidR="007D462B">
        <w:rPr>
          <w:iCs/>
        </w:rPr>
        <w:t xml:space="preserve"> further CAL</w:t>
      </w:r>
      <w:r w:rsidR="00503221">
        <w:rPr>
          <w:iCs/>
        </w:rPr>
        <w:t>PUFF</w:t>
      </w:r>
      <w:r w:rsidR="007D462B">
        <w:rPr>
          <w:iCs/>
        </w:rPr>
        <w:t xml:space="preserve"> modeling. </w:t>
      </w:r>
      <w:r w:rsidR="00915557">
        <w:rPr>
          <w:iCs/>
        </w:rPr>
        <w:t>A</w:t>
      </w:r>
      <w:r w:rsidR="00E24F39">
        <w:rPr>
          <w:iCs/>
        </w:rPr>
        <w:t xml:space="preserve"> review of </w:t>
      </w:r>
      <w:r w:rsidR="00915557">
        <w:rPr>
          <w:iCs/>
        </w:rPr>
        <w:t xml:space="preserve">contribution analyses conducted by MANE-VU, including </w:t>
      </w:r>
      <w:r w:rsidR="00E24F39">
        <w:rPr>
          <w:iCs/>
        </w:rPr>
        <w:t xml:space="preserve">the previous two NESCAUM </w:t>
      </w:r>
      <w:r w:rsidR="00915557">
        <w:rPr>
          <w:iCs/>
        </w:rPr>
        <w:t xml:space="preserve">Q/d </w:t>
      </w:r>
      <w:r w:rsidR="00E24F39">
        <w:rPr>
          <w:iCs/>
        </w:rPr>
        <w:t>studie</w:t>
      </w:r>
      <w:r w:rsidR="00915557">
        <w:rPr>
          <w:iCs/>
        </w:rPr>
        <w:t xml:space="preserve">s </w:t>
      </w:r>
      <w:r w:rsidR="00EC31AC">
        <w:rPr>
          <w:iCs/>
        </w:rPr>
        <w:t>(</w:t>
      </w:r>
      <w:r w:rsidR="00915557">
        <w:rPr>
          <w:iCs/>
        </w:rPr>
        <w:t>CALPUFF analyses and REMSTAD analysis</w:t>
      </w:r>
      <w:r w:rsidR="00160D14">
        <w:rPr>
          <w:iCs/>
          <w:vertAlign w:val="superscript"/>
        </w:rPr>
        <w:t>2,3</w:t>
      </w:r>
      <w:r w:rsidR="00EC31AC">
        <w:rPr>
          <w:iCs/>
        </w:rPr>
        <w:t>)</w:t>
      </w:r>
      <w:r w:rsidR="00915557">
        <w:rPr>
          <w:iCs/>
        </w:rPr>
        <w:t xml:space="preserve"> found similar results regardless of </w:t>
      </w:r>
      <w:r w:rsidR="004D4723">
        <w:rPr>
          <w:iCs/>
        </w:rPr>
        <w:t xml:space="preserve">the </w:t>
      </w:r>
      <w:r w:rsidR="00915557">
        <w:rPr>
          <w:iCs/>
        </w:rPr>
        <w:t>method</w:t>
      </w:r>
      <w:r w:rsidR="004D4723">
        <w:rPr>
          <w:iCs/>
        </w:rPr>
        <w:t>.</w:t>
      </w:r>
      <w:r w:rsidR="00E24F39">
        <w:rPr>
          <w:iCs/>
        </w:rPr>
        <w:t xml:space="preserve"> </w:t>
      </w:r>
      <w:r w:rsidR="00F976D2">
        <w:rPr>
          <w:iCs/>
        </w:rPr>
        <w:t xml:space="preserve"> I</w:t>
      </w:r>
      <w:r w:rsidR="00E24F39">
        <w:rPr>
          <w:iCs/>
        </w:rPr>
        <w:t xml:space="preserve">t was decided the most cost effective tool for the first </w:t>
      </w:r>
      <w:r w:rsidR="00915557">
        <w:rPr>
          <w:iCs/>
        </w:rPr>
        <w:t>iteration of contribution anal</w:t>
      </w:r>
      <w:r w:rsidR="007039B8">
        <w:rPr>
          <w:iCs/>
        </w:rPr>
        <w:t>y</w:t>
      </w:r>
      <w:r w:rsidR="00915557">
        <w:rPr>
          <w:iCs/>
        </w:rPr>
        <w:t>s</w:t>
      </w:r>
      <w:r w:rsidR="007039B8">
        <w:rPr>
          <w:iCs/>
        </w:rPr>
        <w:t>i</w:t>
      </w:r>
      <w:r w:rsidR="00915557">
        <w:rPr>
          <w:iCs/>
        </w:rPr>
        <w:t>s</w:t>
      </w:r>
      <w:r w:rsidR="00E24F39">
        <w:rPr>
          <w:iCs/>
        </w:rPr>
        <w:t xml:space="preserve"> was the Q/d approach as the resource investment was less than the others and each method previously run provided </w:t>
      </w:r>
      <w:r w:rsidR="00F976D2">
        <w:rPr>
          <w:iCs/>
        </w:rPr>
        <w:t>similar</w:t>
      </w:r>
      <w:r w:rsidR="00E24F39">
        <w:rPr>
          <w:iCs/>
        </w:rPr>
        <w:t xml:space="preserve"> ranking results. </w:t>
      </w:r>
    </w:p>
    <w:p w14:paraId="5D223D3D" w14:textId="77777777" w:rsidR="00E24F39" w:rsidRDefault="00E24F39" w:rsidP="00E24F39">
      <w:pPr>
        <w:pStyle w:val="Heading2"/>
      </w:pPr>
      <w:bookmarkStart w:id="3" w:name="_Toc447733818"/>
      <w:r>
        <w:t>Methods</w:t>
      </w:r>
      <w:bookmarkEnd w:id="3"/>
    </w:p>
    <w:p w14:paraId="059443ED" w14:textId="5614A9C0" w:rsidR="008C0BBB" w:rsidRDefault="000C1D82" w:rsidP="00E24F39">
      <w:r>
        <w:t>The 2015 analysis was done using</w:t>
      </w:r>
      <w:r w:rsidR="00E24F39">
        <w:t xml:space="preserve"> the ARC MAP ® software with some</w:t>
      </w:r>
      <w:r w:rsidR="00FF6AD8">
        <w:t xml:space="preserve"> custom</w:t>
      </w:r>
      <w:r w:rsidR="00E24F39">
        <w:t xml:space="preserve"> </w:t>
      </w:r>
      <w:r w:rsidR="00503221">
        <w:t xml:space="preserve">visual basic </w:t>
      </w:r>
      <w:r>
        <w:t>scripts; scripts are noted in Appendix B</w:t>
      </w:r>
      <w:r w:rsidR="00E24F39">
        <w:t>. The intent of this approach was to provide a simple exercise that could be repeated with little effort as the project evolved; to better test new methods and investigate new sources of haze; all while providing the data and illustrative graphics in a singl</w:t>
      </w:r>
      <w:r w:rsidR="008C0BBB">
        <w:t>e effort.</w:t>
      </w:r>
    </w:p>
    <w:p w14:paraId="5101C025" w14:textId="322C109C" w:rsidR="00EC31AC" w:rsidRDefault="00F976D2" w:rsidP="00EC31AC">
      <w:pPr>
        <w:spacing w:after="0" w:line="240" w:lineRule="auto"/>
      </w:pPr>
      <w:r>
        <w:t xml:space="preserve">The empirical formula that relates emission source strength and estimated impact is expressed </w:t>
      </w:r>
      <w:r w:rsidR="002B14BC">
        <w:t>through</w:t>
      </w:r>
      <w:r>
        <w:t xml:space="preserve"> the following equation:</w:t>
      </w:r>
    </w:p>
    <w:p w14:paraId="74E391A5" w14:textId="77777777" w:rsidR="00EC31AC" w:rsidRDefault="00EC31AC" w:rsidP="00EC31AC">
      <w:pPr>
        <w:spacing w:after="0" w:line="240" w:lineRule="auto"/>
      </w:pPr>
    </w:p>
    <w:p w14:paraId="66BF46B1" w14:textId="77777777" w:rsidR="00EC31AC" w:rsidRPr="00160D14" w:rsidRDefault="00EC31AC" w:rsidP="00EC31AC">
      <w:pPr>
        <w:spacing w:after="0" w:line="240" w:lineRule="auto"/>
        <w:ind w:left="216"/>
        <w:jc w:val="center"/>
        <w:rPr>
          <w:rFonts w:ascii="Symbol" w:eastAsia="Symbol" w:hAnsi="Symbol" w:cs="Symbol"/>
          <w:sz w:val="33"/>
          <w:szCs w:val="33"/>
        </w:rPr>
      </w:pPr>
      <w:r>
        <w:rPr>
          <w:rFonts w:ascii="Times New Roman" w:eastAsia="Times New Roman" w:hAnsi="Times New Roman" w:cs="Times New Roman"/>
          <w:i/>
          <w:w w:val="95"/>
          <w:sz w:val="25"/>
          <w:szCs w:val="25"/>
        </w:rPr>
        <w:t>I</w:t>
      </w:r>
      <w:r>
        <w:rPr>
          <w:rFonts w:ascii="Times New Roman" w:eastAsia="Times New Roman" w:hAnsi="Times New Roman" w:cs="Times New Roman"/>
          <w:i/>
          <w:spacing w:val="25"/>
          <w:w w:val="95"/>
          <w:sz w:val="25"/>
          <w:szCs w:val="25"/>
        </w:rPr>
        <w:t xml:space="preserve"> </w:t>
      </w:r>
      <w:r>
        <w:rPr>
          <w:rFonts w:ascii="Symbol" w:eastAsia="Symbol" w:hAnsi="Symbol" w:cs="Symbol"/>
          <w:w w:val="95"/>
          <w:sz w:val="25"/>
          <w:szCs w:val="25"/>
        </w:rPr>
        <w:t></w:t>
      </w:r>
      <w:r>
        <w:rPr>
          <w:rFonts w:ascii="Symbol" w:eastAsia="Symbol" w:hAnsi="Symbol" w:cs="Symbol"/>
          <w:spacing w:val="-9"/>
          <w:w w:val="95"/>
          <w:sz w:val="25"/>
          <w:szCs w:val="25"/>
        </w:rPr>
        <w:t></w:t>
      </w:r>
      <w:r>
        <w:rPr>
          <w:rFonts w:ascii="Times New Roman" w:eastAsia="Times New Roman" w:hAnsi="Times New Roman" w:cs="Times New Roman"/>
          <w:i/>
          <w:w w:val="95"/>
          <w:sz w:val="25"/>
          <w:szCs w:val="25"/>
        </w:rPr>
        <w:t>C</w:t>
      </w:r>
      <w:r>
        <w:rPr>
          <w:rFonts w:ascii="Times New Roman" w:eastAsia="Times New Roman" w:hAnsi="Times New Roman" w:cs="Times New Roman"/>
          <w:i/>
          <w:w w:val="95"/>
          <w:position w:val="-5"/>
          <w:sz w:val="14"/>
          <w:szCs w:val="14"/>
        </w:rPr>
        <w:t>i</w:t>
      </w:r>
      <w:r>
        <w:rPr>
          <w:rFonts w:ascii="Times New Roman" w:eastAsia="Times New Roman" w:hAnsi="Times New Roman" w:cs="Times New Roman"/>
          <w:i/>
          <w:spacing w:val="4"/>
          <w:w w:val="95"/>
          <w:position w:val="-5"/>
          <w:sz w:val="14"/>
          <w:szCs w:val="14"/>
        </w:rPr>
        <w:t xml:space="preserve"> </w:t>
      </w:r>
      <w:r>
        <w:rPr>
          <w:rFonts w:ascii="Symbol" w:eastAsia="Symbol" w:hAnsi="Symbol" w:cs="Symbol"/>
          <w:spacing w:val="-11"/>
          <w:w w:val="95"/>
          <w:sz w:val="33"/>
          <w:szCs w:val="33"/>
        </w:rPr>
        <w:t></w:t>
      </w:r>
      <w:r>
        <w:rPr>
          <w:rFonts w:ascii="Times New Roman" w:eastAsia="Times New Roman" w:hAnsi="Times New Roman" w:cs="Times New Roman"/>
          <w:i/>
          <w:spacing w:val="-8"/>
          <w:w w:val="95"/>
          <w:sz w:val="25"/>
          <w:szCs w:val="25"/>
        </w:rPr>
        <w:t>Q</w:t>
      </w:r>
      <w:r>
        <w:rPr>
          <w:rFonts w:ascii="Times New Roman" w:eastAsia="Times New Roman" w:hAnsi="Times New Roman" w:cs="Times New Roman"/>
          <w:i/>
          <w:spacing w:val="-28"/>
          <w:w w:val="95"/>
          <w:sz w:val="25"/>
          <w:szCs w:val="25"/>
        </w:rPr>
        <w:t xml:space="preserve"> </w:t>
      </w:r>
      <w:r>
        <w:rPr>
          <w:rFonts w:ascii="Times New Roman" w:eastAsia="Times New Roman" w:hAnsi="Times New Roman" w:cs="Times New Roman"/>
          <w:w w:val="95"/>
          <w:sz w:val="25"/>
          <w:szCs w:val="25"/>
        </w:rPr>
        <w:t>/</w:t>
      </w:r>
      <w:r>
        <w:rPr>
          <w:rFonts w:ascii="Times New Roman" w:eastAsia="Times New Roman" w:hAnsi="Times New Roman" w:cs="Times New Roman"/>
          <w:spacing w:val="-20"/>
          <w:w w:val="95"/>
          <w:sz w:val="25"/>
          <w:szCs w:val="25"/>
        </w:rPr>
        <w:t xml:space="preserve"> </w:t>
      </w:r>
      <w:r>
        <w:rPr>
          <w:rFonts w:ascii="Times New Roman" w:eastAsia="Times New Roman" w:hAnsi="Times New Roman" w:cs="Times New Roman"/>
          <w:i/>
          <w:w w:val="95"/>
          <w:sz w:val="25"/>
          <w:szCs w:val="25"/>
        </w:rPr>
        <w:t>d</w:t>
      </w:r>
      <w:r>
        <w:rPr>
          <w:rFonts w:ascii="Times New Roman" w:eastAsia="Times New Roman" w:hAnsi="Times New Roman" w:cs="Times New Roman"/>
          <w:i/>
          <w:spacing w:val="-31"/>
          <w:w w:val="95"/>
          <w:sz w:val="25"/>
          <w:szCs w:val="25"/>
        </w:rPr>
        <w:t xml:space="preserve"> </w:t>
      </w:r>
      <w:r>
        <w:rPr>
          <w:rFonts w:ascii="Symbol" w:eastAsia="Symbol" w:hAnsi="Symbol" w:cs="Symbol"/>
          <w:w w:val="95"/>
          <w:sz w:val="33"/>
          <w:szCs w:val="33"/>
        </w:rPr>
        <w:t></w:t>
      </w:r>
    </w:p>
    <w:p w14:paraId="6FCAE835" w14:textId="52F72B82" w:rsidR="00EC31AC" w:rsidRDefault="00EC31AC" w:rsidP="00EC31AC">
      <w:pPr>
        <w:spacing w:after="0" w:line="240" w:lineRule="auto"/>
      </w:pPr>
    </w:p>
    <w:p w14:paraId="44666DC4" w14:textId="77777777" w:rsidR="004156C4" w:rsidRDefault="00F976D2" w:rsidP="00EC31AC">
      <w:pPr>
        <w:spacing w:after="0"/>
      </w:pPr>
      <w:r>
        <w:t>In this equation, the strength of an emission source, Q, is linearly related to the impact, I, that it will have on a receptor located a distance, d, away.</w:t>
      </w:r>
      <w:r w:rsidRPr="00F976D2">
        <w:t xml:space="preserve"> </w:t>
      </w:r>
      <w:r>
        <w:t xml:space="preserve">  </w:t>
      </w:r>
      <w:r w:rsidRPr="00F976D2">
        <w:t>As in the previous analysis, distances were computed using the Haversine function, us</w:t>
      </w:r>
      <w:r>
        <w:t>ing an earth radius of 6371 km</w:t>
      </w:r>
      <w:r w:rsidRPr="00160D14">
        <w:rPr>
          <w:vertAlign w:val="superscript"/>
        </w:rPr>
        <w:t>2</w:t>
      </w:r>
      <w:r>
        <w:t>.</w:t>
      </w:r>
      <w:r w:rsidRPr="00F976D2">
        <w:t xml:space="preserve">   The effect of meteorological prevailing winds can be factored into this approach by establishing the constant, C</w:t>
      </w:r>
      <w:r w:rsidRPr="00160D14">
        <w:rPr>
          <w:vertAlign w:val="subscript"/>
        </w:rPr>
        <w:t>i</w:t>
      </w:r>
      <w:r w:rsidRPr="00F976D2">
        <w:t xml:space="preserve">, as a function of the “wind direction sectors” relative to the receptor site. </w:t>
      </w:r>
    </w:p>
    <w:p w14:paraId="73AD5F1F" w14:textId="77777777" w:rsidR="00EC31AC" w:rsidRDefault="00EC31AC" w:rsidP="00EC31AC">
      <w:pPr>
        <w:spacing w:after="0"/>
      </w:pPr>
    </w:p>
    <w:p w14:paraId="4EDAF300" w14:textId="61E918DC" w:rsidR="00F976D2" w:rsidRDefault="00F976D2" w:rsidP="00E24F39">
      <w:r w:rsidRPr="00F976D2">
        <w:t xml:space="preserve">By establishing a different constant for each wind direction sector, based on prior modeling results—in this case, CALPUFF results—are in effect “scaling” Q/d results by CALPUFF-calculated source impacts.  The absolute impacts produced are then dependent on the CALPUFF results. The relative contributions, however, of each source within a wind direction sector is established completely independent of the CALPUFF calculation, yielding a quasi-independent method of apportionment to add to </w:t>
      </w:r>
      <w:r w:rsidR="00EC31AC">
        <w:t>the</w:t>
      </w:r>
      <w:r w:rsidR="00EC31AC" w:rsidRPr="00F976D2">
        <w:t xml:space="preserve"> </w:t>
      </w:r>
      <w:r w:rsidRPr="00F976D2">
        <w:t>weight-of-evidence approach.</w:t>
      </w:r>
      <w:r w:rsidR="008C0BBB">
        <w:t xml:space="preserve"> </w:t>
      </w:r>
    </w:p>
    <w:p w14:paraId="23FE8AC1" w14:textId="5203D717" w:rsidR="00764A94" w:rsidRDefault="00F976D2" w:rsidP="00F976D2">
      <w:r>
        <w:t xml:space="preserve">Discussion occurred as to whether the wind direction sectors changed to such an extent that updating the data with more recent data was necessary. </w:t>
      </w:r>
      <w:r w:rsidR="008C0BBB">
        <w:t xml:space="preserve">A consensus of MANE-VU states determined that on average the directions of prevailing winds had not changed and thereby it was still acceptable to utilize the CALPUFF derived constants in the NESCAUM, 2002 analysis. These constants can be noted in Appendix A. </w:t>
      </w:r>
      <w:r w:rsidR="00503221" w:rsidDel="00F976D2">
        <w:t>As was done in the NESCAUM 2012 analysis</w:t>
      </w:r>
      <w:r w:rsidR="008C0BBB" w:rsidDel="00F976D2">
        <w:t xml:space="preserve"> </w:t>
      </w:r>
      <w:r w:rsidR="00503221" w:rsidDel="00F976D2">
        <w:t xml:space="preserve">state total emissions were evaluated from a source location of a population weight state centroid. Again little change was expected between the locations of the 2012 and 2015 estimated population densities thus the analysis was repeated with the locations of the centroids used in the NESCAUM 2012 study, also noted in detail in Appendix A. </w:t>
      </w:r>
      <w:r w:rsidR="008C0BBB" w:rsidDel="00F976D2">
        <w:t xml:space="preserve"> </w:t>
      </w:r>
    </w:p>
    <w:p w14:paraId="771DD5AB" w14:textId="3704E949" w:rsidR="00764A94" w:rsidRDefault="00764A94" w:rsidP="00E24F39">
      <w:r>
        <w:t xml:space="preserve">The MANE-VU </w:t>
      </w:r>
      <w:r w:rsidR="00706E0E">
        <w:t>Class I</w:t>
      </w:r>
      <w:r>
        <w:t xml:space="preserve"> areas</w:t>
      </w:r>
      <w:r w:rsidR="004156C4">
        <w:t xml:space="preserve"> with Interagency Monitoring of Protected Visual Environments (IMPROVE) monitors</w:t>
      </w:r>
      <w:r>
        <w:t xml:space="preserve">; Acadia, Brigantine, Great Gulf, Lye Brook &amp; Moosehorn and several near-by </w:t>
      </w:r>
      <w:r w:rsidR="00706E0E">
        <w:t>Class I</w:t>
      </w:r>
      <w:r>
        <w:t xml:space="preserve"> areas </w:t>
      </w:r>
      <w:r w:rsidR="004156C4">
        <w:t xml:space="preserve">with IMPROVE monitors; </w:t>
      </w:r>
      <w:r>
        <w:t>Dolly Sods, James River Face and Shenandoah were used as receptors. The only new</w:t>
      </w:r>
      <w:r w:rsidR="004156C4">
        <w:t xml:space="preserve"> receptor</w:t>
      </w:r>
      <w:r>
        <w:t xml:space="preserve"> </w:t>
      </w:r>
      <w:r w:rsidR="004156C4">
        <w:t xml:space="preserve">in </w:t>
      </w:r>
      <w:r>
        <w:t xml:space="preserve">this analysis was the James River Face Wilderness area as it is in close </w:t>
      </w:r>
      <w:r w:rsidR="002B14BC">
        <w:t>enough</w:t>
      </w:r>
      <w:r>
        <w:t xml:space="preserve"> </w:t>
      </w:r>
      <w:r w:rsidR="004156C4">
        <w:t xml:space="preserve">in </w:t>
      </w:r>
      <w:r>
        <w:t xml:space="preserve">proximity </w:t>
      </w:r>
      <w:r w:rsidR="004156C4">
        <w:t xml:space="preserve">to MANE-VU states </w:t>
      </w:r>
      <w:r>
        <w:t xml:space="preserve">it may be important receptor to MANE-VU states emissions (assumptions made to incorporate this receptor using the previous constants are explained in detail in Appendix B). </w:t>
      </w:r>
      <w:r w:rsidR="00954B52">
        <w:t xml:space="preserve">See </w:t>
      </w:r>
      <w:r w:rsidR="00954B52">
        <w:fldChar w:fldCharType="begin"/>
      </w:r>
      <w:r w:rsidR="00954B52">
        <w:instrText xml:space="preserve"> REF _Ref436986162 \h </w:instrText>
      </w:r>
      <w:r w:rsidR="00954B52">
        <w:fldChar w:fldCharType="separate"/>
      </w:r>
      <w:r w:rsidR="00954B52">
        <w:t xml:space="preserve">Figure </w:t>
      </w:r>
      <w:r w:rsidR="00954B52">
        <w:rPr>
          <w:noProof/>
        </w:rPr>
        <w:t>1</w:t>
      </w:r>
      <w:r w:rsidR="00954B52">
        <w:fldChar w:fldCharType="end"/>
      </w:r>
      <w:r w:rsidR="00954B52">
        <w:t xml:space="preserve"> for locations of receptors analyzed in the 2015 analysis.</w:t>
      </w:r>
    </w:p>
    <w:p w14:paraId="4E9AECDE" w14:textId="4D7BACF3" w:rsidR="00503221" w:rsidRDefault="00503221" w:rsidP="00E24F39">
      <w:r>
        <w:t xml:space="preserve">The geographic domain </w:t>
      </w:r>
      <w:r w:rsidR="00162922">
        <w:t>varied</w:t>
      </w:r>
      <w:r>
        <w:t xml:space="preserve"> from the previous studies </w:t>
      </w:r>
      <w:r w:rsidR="00162922">
        <w:t xml:space="preserve">in that </w:t>
      </w:r>
      <w:r>
        <w:t xml:space="preserve">Canadian emissions </w:t>
      </w:r>
      <w:r w:rsidR="00162922">
        <w:t xml:space="preserve">were excluded </w:t>
      </w:r>
      <w:r>
        <w:t>this time</w:t>
      </w:r>
      <w:r w:rsidR="00162922">
        <w:t>. T</w:t>
      </w:r>
      <w:r>
        <w:t>he remainder of the domain was the same</w:t>
      </w:r>
      <w:r w:rsidR="00954B52">
        <w:t xml:space="preserve"> and consistent with the regions modeling domain for other pollutant planning efforts. </w:t>
      </w:r>
    </w:p>
    <w:p w14:paraId="330FFD28" w14:textId="3BFB82F5" w:rsidR="00EA7074" w:rsidRDefault="00503221" w:rsidP="00EA7074">
      <w:pPr>
        <w:pStyle w:val="Caption"/>
        <w:keepNext/>
        <w:rPr>
          <w:noProof/>
        </w:rPr>
      </w:pPr>
      <w:bookmarkStart w:id="4" w:name="_Ref436986162"/>
      <w:bookmarkStart w:id="5" w:name="_Toc447733824"/>
      <w:r>
        <w:t xml:space="preserve">Figure </w:t>
      </w:r>
      <w:r w:rsidR="002B14BC">
        <w:fldChar w:fldCharType="begin"/>
      </w:r>
      <w:r w:rsidR="002B14BC">
        <w:instrText xml:space="preserve"> SEQ Figure \* ARABIC </w:instrText>
      </w:r>
      <w:r w:rsidR="002B14BC">
        <w:fldChar w:fldCharType="separate"/>
      </w:r>
      <w:r w:rsidR="004C7E13">
        <w:rPr>
          <w:noProof/>
        </w:rPr>
        <w:t>1</w:t>
      </w:r>
      <w:r w:rsidR="002B14BC">
        <w:rPr>
          <w:noProof/>
        </w:rPr>
        <w:fldChar w:fldCharType="end"/>
      </w:r>
      <w:bookmarkEnd w:id="4"/>
      <w:r>
        <w:t xml:space="preserve">. </w:t>
      </w:r>
      <w:r w:rsidR="00EA7074">
        <w:t xml:space="preserve">Receptors </w:t>
      </w:r>
      <w:r>
        <w:t xml:space="preserve">for the 2015 </w:t>
      </w:r>
      <w:r w:rsidR="004D4723">
        <w:t>C</w:t>
      </w:r>
      <w:r w:rsidR="004D4723" w:rsidRPr="00F65924">
        <w:rPr>
          <w:vertAlign w:val="subscript"/>
        </w:rPr>
        <w:t>i</w:t>
      </w:r>
      <w:r w:rsidR="00706E0E">
        <w:t>(Q/d</w:t>
      </w:r>
      <w:bookmarkEnd w:id="5"/>
      <w:r w:rsidR="002B14BC">
        <w:t>) Analysis</w:t>
      </w:r>
    </w:p>
    <w:p w14:paraId="005EB1A3" w14:textId="4E432E01" w:rsidR="00503221" w:rsidRDefault="003F2D08" w:rsidP="00E24F39">
      <w:r>
        <w:rPr>
          <w:noProof/>
        </w:rPr>
        <w:drawing>
          <wp:inline distT="0" distB="0" distL="0" distR="0" wp14:anchorId="0248CA36" wp14:editId="499D4FEC">
            <wp:extent cx="3903790" cy="2472690"/>
            <wp:effectExtent l="0" t="0" r="1905"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94" t="9757" r="6614" b="16226"/>
                    <a:stretch/>
                  </pic:blipFill>
                  <pic:spPr bwMode="auto">
                    <a:xfrm>
                      <a:off x="0" y="0"/>
                      <a:ext cx="3904553" cy="2473173"/>
                    </a:xfrm>
                    <a:prstGeom prst="rect">
                      <a:avLst/>
                    </a:prstGeom>
                    <a:ln>
                      <a:noFill/>
                    </a:ln>
                    <a:extLst>
                      <a:ext uri="{53640926-AAD7-44D8-BBD7-CCE9431645EC}">
                        <a14:shadowObscured xmlns:a14="http://schemas.microsoft.com/office/drawing/2010/main"/>
                      </a:ext>
                    </a:extLst>
                  </pic:spPr>
                </pic:pic>
              </a:graphicData>
            </a:graphic>
          </wp:inline>
        </w:drawing>
      </w:r>
    </w:p>
    <w:p w14:paraId="4BD166A6" w14:textId="4D2BB9B6" w:rsidR="00E24F39" w:rsidRDefault="00BF0BD0" w:rsidP="00E24F39">
      <w:r>
        <w:t>Sulfur dioxide (</w:t>
      </w:r>
      <w:r w:rsidR="00084EC7">
        <w:t>SO</w:t>
      </w:r>
      <w:r w:rsidR="00084EC7" w:rsidRPr="00084EC7">
        <w:rPr>
          <w:vertAlign w:val="subscript"/>
        </w:rPr>
        <w:t>2</w:t>
      </w:r>
      <w:r>
        <w:t xml:space="preserve">) emissions from 2011 NEI version 2 were summed for each state across all sectors with the exception of biogenic. This is consistent with the NESCAUM 2012 analysis. However, in the 2015 analysis additional experimental runs were done with </w:t>
      </w:r>
      <w:r w:rsidR="005D314E">
        <w:t>volatile</w:t>
      </w:r>
      <w:r>
        <w:t xml:space="preserve"> organic carbons (VOC), direct fine particulates (</w:t>
      </w:r>
      <w:r w:rsidR="00084EC7">
        <w:t>PM</w:t>
      </w:r>
      <w:r w:rsidR="00084EC7" w:rsidRPr="00084EC7">
        <w:rPr>
          <w:vertAlign w:val="subscript"/>
        </w:rPr>
        <w:t>2.5</w:t>
      </w:r>
      <w:r>
        <w:t>) and nitrogen oxides (</w:t>
      </w:r>
      <w:r w:rsidR="00084EC7">
        <w:t>NO</w:t>
      </w:r>
      <w:r w:rsidR="00084EC7" w:rsidRPr="00084EC7">
        <w:rPr>
          <w:vertAlign w:val="subscript"/>
        </w:rPr>
        <w:t>X</w:t>
      </w:r>
      <w:r>
        <w:t xml:space="preserve">). With the exception of </w:t>
      </w:r>
      <w:r w:rsidR="00084EC7">
        <w:t>PM</w:t>
      </w:r>
      <w:r w:rsidR="00084EC7" w:rsidRPr="00084EC7">
        <w:rPr>
          <w:vertAlign w:val="subscript"/>
        </w:rPr>
        <w:t>2.5</w:t>
      </w:r>
      <w:r>
        <w:t xml:space="preserve"> the same methodology was employed (</w:t>
      </w:r>
      <w:r w:rsidR="00084EC7">
        <w:t>PM</w:t>
      </w:r>
      <w:r w:rsidR="00084EC7" w:rsidRPr="00084EC7">
        <w:rPr>
          <w:vertAlign w:val="subscript"/>
        </w:rPr>
        <w:t>2.5</w:t>
      </w:r>
      <w:r>
        <w:t xml:space="preserve"> emissions were instead divided by distance squared</w:t>
      </w:r>
      <w:r w:rsidR="00D930CB">
        <w:t>,</w:t>
      </w:r>
      <w:r w:rsidR="004E3DA2">
        <w:t xml:space="preserve"> as Gaussian dispersion equation indicates is appropriate).</w:t>
      </w:r>
      <w:r w:rsidR="005D314E">
        <w:t xml:space="preserve"> </w:t>
      </w:r>
      <w:r w:rsidR="008C0BBB">
        <w:t xml:space="preserve">A </w:t>
      </w:r>
      <w:r>
        <w:t>“</w:t>
      </w:r>
      <w:r w:rsidR="008C0BBB">
        <w:t>step by step</w:t>
      </w:r>
      <w:r>
        <w:t>”</w:t>
      </w:r>
      <w:r w:rsidR="008C0BBB">
        <w:t xml:space="preserve"> </w:t>
      </w:r>
      <w:r w:rsidR="00D930CB">
        <w:t xml:space="preserve">documentation of this process </w:t>
      </w:r>
      <w:r w:rsidR="008C0BBB">
        <w:t xml:space="preserve">can be found in Appendix B. </w:t>
      </w:r>
    </w:p>
    <w:p w14:paraId="3B5BBD22" w14:textId="44E424B5" w:rsidR="005D314E" w:rsidRDefault="005D314E" w:rsidP="00E24F39">
      <w:r>
        <w:t>It was determined that the C</w:t>
      </w:r>
      <w:r w:rsidRPr="00160D14">
        <w:rPr>
          <w:vertAlign w:val="subscript"/>
        </w:rPr>
        <w:t>i</w:t>
      </w:r>
      <w:r>
        <w:t xml:space="preserve">’s, originally derived for the </w:t>
      </w:r>
      <w:r w:rsidR="00084EC7">
        <w:t>SO</w:t>
      </w:r>
      <w:r w:rsidR="00084EC7" w:rsidRPr="00084EC7">
        <w:rPr>
          <w:vertAlign w:val="subscript"/>
        </w:rPr>
        <w:t>2</w:t>
      </w:r>
      <w:r>
        <w:t xml:space="preserve"> emissions, were not appropriate substitutions for these other pollutants; this was most evident in the </w:t>
      </w:r>
      <w:r w:rsidR="00220EBA">
        <w:t xml:space="preserve">resulting </w:t>
      </w:r>
      <w:r>
        <w:t xml:space="preserve">over estimation of the </w:t>
      </w:r>
      <w:r w:rsidR="00D930CB">
        <w:t xml:space="preserve"> impact of </w:t>
      </w:r>
      <w:r w:rsidR="00084EC7">
        <w:t>NO</w:t>
      </w:r>
      <w:r w:rsidR="00084EC7" w:rsidRPr="00084EC7">
        <w:rPr>
          <w:vertAlign w:val="subscript"/>
        </w:rPr>
        <w:t>X</w:t>
      </w:r>
      <w:r>
        <w:t xml:space="preserve"> at the </w:t>
      </w:r>
      <w:r w:rsidR="00706E0E">
        <w:t>Class I</w:t>
      </w:r>
      <w:r>
        <w:t xml:space="preserve"> areas</w:t>
      </w:r>
      <w:r w:rsidR="001139D9">
        <w:t xml:space="preserve"> with this methodology</w:t>
      </w:r>
      <w:r>
        <w:t>.  This</w:t>
      </w:r>
      <w:r w:rsidR="00D930CB">
        <w:t>,</w:t>
      </w:r>
      <w:r>
        <w:t xml:space="preserve"> in addition with the visibility assessment </w:t>
      </w:r>
      <w:r w:rsidR="00BB3D34">
        <w:t xml:space="preserve">which also showed the relative importance of sulfates compared to other pollutants in regards to light extinction at </w:t>
      </w:r>
      <w:r w:rsidR="00084EC7">
        <w:t>the IMPROVE sites analyzed</w:t>
      </w:r>
      <w:r w:rsidR="00BB3D34">
        <w:t xml:space="preserve"> (see </w:t>
      </w:r>
      <w:r w:rsidR="00BB3D34">
        <w:fldChar w:fldCharType="begin"/>
      </w:r>
      <w:r w:rsidR="00BB3D34">
        <w:instrText xml:space="preserve"> REF _Ref436992080 \h </w:instrText>
      </w:r>
      <w:r w:rsidR="00BB3D34">
        <w:fldChar w:fldCharType="separate"/>
      </w:r>
      <w:r w:rsidR="00EC31AC">
        <w:t xml:space="preserve">Figure </w:t>
      </w:r>
      <w:r w:rsidR="00EC31AC">
        <w:rPr>
          <w:noProof/>
        </w:rPr>
        <w:t>2</w:t>
      </w:r>
      <w:r w:rsidR="00BB3D34">
        <w:fldChar w:fldCharType="end"/>
      </w:r>
      <w:r w:rsidR="00BB3D34">
        <w:t>)</w:t>
      </w:r>
      <w:r w:rsidR="00D930CB">
        <w:t>,</w:t>
      </w:r>
      <w:r>
        <w:t xml:space="preserve"> </w:t>
      </w:r>
      <w:r w:rsidR="00D930CB">
        <w:t xml:space="preserve">led us to conclude </w:t>
      </w:r>
      <w:r>
        <w:t xml:space="preserve">that </w:t>
      </w:r>
      <w:r w:rsidR="00084EC7">
        <w:t>SO</w:t>
      </w:r>
      <w:r w:rsidR="00084EC7" w:rsidRPr="00084EC7">
        <w:rPr>
          <w:vertAlign w:val="subscript"/>
        </w:rPr>
        <w:t>2</w:t>
      </w:r>
      <w:r>
        <w:t xml:space="preserve"> was the most accurate and most relevant estimation for determining the </w:t>
      </w:r>
      <w:r w:rsidR="00D930CB">
        <w:t xml:space="preserve">impact of states’ emissions </w:t>
      </w:r>
      <w:r>
        <w:t xml:space="preserve">to the visibility impairment of the MANE-VU </w:t>
      </w:r>
      <w:r w:rsidR="00706E0E">
        <w:t>Class I</w:t>
      </w:r>
      <w:r>
        <w:t xml:space="preserve"> areas. </w:t>
      </w:r>
    </w:p>
    <w:p w14:paraId="758228CE" w14:textId="152EFDDC" w:rsidR="00BB3D34" w:rsidRDefault="00BB3D34" w:rsidP="00160D14">
      <w:pPr>
        <w:pStyle w:val="Caption"/>
        <w:keepNext/>
      </w:pPr>
      <w:bookmarkStart w:id="6" w:name="_Ref436992080"/>
      <w:bookmarkStart w:id="7" w:name="_Toc447733825"/>
      <w:r>
        <w:t xml:space="preserve">Figure </w:t>
      </w:r>
      <w:r w:rsidR="002B14BC">
        <w:fldChar w:fldCharType="begin"/>
      </w:r>
      <w:r w:rsidR="002B14BC">
        <w:instrText xml:space="preserve"> SEQ Figure \* ARABIC </w:instrText>
      </w:r>
      <w:r w:rsidR="002B14BC">
        <w:fldChar w:fldCharType="separate"/>
      </w:r>
      <w:r w:rsidR="004C7E13">
        <w:rPr>
          <w:noProof/>
        </w:rPr>
        <w:t>2</w:t>
      </w:r>
      <w:r w:rsidR="002B14BC">
        <w:rPr>
          <w:noProof/>
        </w:rPr>
        <w:fldChar w:fldCharType="end"/>
      </w:r>
      <w:bookmarkEnd w:id="6"/>
      <w:r>
        <w:t xml:space="preserve">. </w:t>
      </w:r>
      <w:bookmarkStart w:id="8" w:name="_Ref436992073"/>
      <w:r w:rsidRPr="001E3B6F">
        <w:t>2013-2014 Monitored Extinction on 20 Haziest Days, Expressed as Percentage of Extinction</w:t>
      </w:r>
      <w:bookmarkEnd w:id="7"/>
      <w:bookmarkEnd w:id="8"/>
    </w:p>
    <w:p w14:paraId="5ACB4143" w14:textId="77777777" w:rsidR="00BB3D34" w:rsidRDefault="00BB3D34">
      <w:r>
        <w:rPr>
          <w:noProof/>
        </w:rPr>
        <w:drawing>
          <wp:inline distT="0" distB="0" distL="0" distR="0" wp14:anchorId="3236B7B5" wp14:editId="7BC17D95">
            <wp:extent cx="5943600" cy="3846681"/>
            <wp:effectExtent l="0" t="0" r="0"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627013" w14:textId="6CB289B4" w:rsidR="00BB3D34" w:rsidRDefault="005D314E" w:rsidP="00E24F39">
      <w:r>
        <w:t xml:space="preserve">In addition to exploring the other haze causing pollutants, the 2015 analysis also reviewed the point only portion of the 2011 NEI v2 emissions. </w:t>
      </w:r>
      <w:r w:rsidR="00102D52">
        <w:t xml:space="preserve">The methodology for this is also outlined in appendix B and followed the same general principles. </w:t>
      </w:r>
      <w:r w:rsidR="005B2A3C">
        <w:t xml:space="preserve">The </w:t>
      </w:r>
      <w:r w:rsidR="004D4723">
        <w:t>C</w:t>
      </w:r>
      <w:r w:rsidR="004D4723" w:rsidRPr="00F65924">
        <w:rPr>
          <w:vertAlign w:val="subscript"/>
        </w:rPr>
        <w:t>i</w:t>
      </w:r>
      <w:r w:rsidR="00706E0E">
        <w:t>(Q/d</w:t>
      </w:r>
      <w:r w:rsidR="002B14BC">
        <w:t>) for</w:t>
      </w:r>
      <w:r w:rsidR="005B2A3C">
        <w:t xml:space="preserve"> the individual sources </w:t>
      </w:r>
      <w:r>
        <w:t>were summed for each state. The intent behind this analysis was to evaluate a possibly more accurate method</w:t>
      </w:r>
      <w:r w:rsidR="005B2A3C">
        <w:t>,</w:t>
      </w:r>
      <w:r>
        <w:t xml:space="preserve"> as Q/d is generally accepted for a screening tool for individual sources. In addition</w:t>
      </w:r>
      <w:r w:rsidR="00102D52">
        <w:t>,</w:t>
      </w:r>
      <w:r>
        <w:t xml:space="preserve"> </w:t>
      </w:r>
      <w:r w:rsidR="00102D52">
        <w:t xml:space="preserve">this provided an understanding of the relative importance </w:t>
      </w:r>
      <w:r w:rsidR="00CA0A36">
        <w:t>of a</w:t>
      </w:r>
      <w:r>
        <w:t xml:space="preserve"> state’s point only contribution</w:t>
      </w:r>
      <w:r w:rsidR="00CA0A36">
        <w:t xml:space="preserve"> to the total contribution of a state</w:t>
      </w:r>
      <w:r>
        <w:t xml:space="preserve">. </w:t>
      </w:r>
      <w:r w:rsidR="005B2A3C">
        <w:t xml:space="preserve">Furthermore, the data from the point source analysis, prior to summation, is useful for later source specific control analyses.  </w:t>
      </w:r>
    </w:p>
    <w:p w14:paraId="6FFC1C2A" w14:textId="60EE209F" w:rsidR="00503221" w:rsidRDefault="005D314E" w:rsidP="00E24F39">
      <w:r>
        <w:t xml:space="preserve">The point analysis was run only with respect to </w:t>
      </w:r>
      <w:r w:rsidR="00084EC7">
        <w:t>SO</w:t>
      </w:r>
      <w:r w:rsidR="00084EC7" w:rsidRPr="00084EC7">
        <w:rPr>
          <w:vertAlign w:val="subscript"/>
        </w:rPr>
        <w:t>2</w:t>
      </w:r>
      <w:r>
        <w:t xml:space="preserve"> emissions. </w:t>
      </w:r>
      <w:r w:rsidR="00EE2E8E">
        <w:t>It was determined that it is also of value to run an additional analysis of th</w:t>
      </w:r>
      <w:r w:rsidR="005A33BA">
        <w:t>e 2018 projected emissions for the point sources</w:t>
      </w:r>
      <w:r w:rsidR="005B2A3C">
        <w:t>.</w:t>
      </w:r>
      <w:r w:rsidR="00D33633">
        <w:t xml:space="preserve"> </w:t>
      </w:r>
      <w:r w:rsidR="006C549D">
        <w:t xml:space="preserve">The </w:t>
      </w:r>
      <w:r w:rsidR="00D33633">
        <w:t xml:space="preserve">MARAMA </w:t>
      </w:r>
      <w:r w:rsidR="006C549D">
        <w:t>α</w:t>
      </w:r>
      <w:r w:rsidR="005B2A3C">
        <w:t xml:space="preserve">2 </w:t>
      </w:r>
      <w:r w:rsidR="00D33633">
        <w:t>2018</w:t>
      </w:r>
      <w:r w:rsidR="006C549D">
        <w:t xml:space="preserve"> was the base for the projected point inventory analysis</w:t>
      </w:r>
      <w:r w:rsidR="00580A1D">
        <w:t xml:space="preserve">. The </w:t>
      </w:r>
      <w:r w:rsidR="009A26C9">
        <w:t xml:space="preserve">2018 </w:t>
      </w:r>
      <w:r w:rsidR="00580A1D">
        <w:t xml:space="preserve">analysis did not include the area and mobile sectors </w:t>
      </w:r>
      <w:r w:rsidR="00EE2E8E">
        <w:t xml:space="preserve">as </w:t>
      </w:r>
      <w:r w:rsidR="004D4723">
        <w:t xml:space="preserve">the </w:t>
      </w:r>
      <w:r w:rsidR="005A33BA">
        <w:t>four-factor</w:t>
      </w:r>
      <w:r w:rsidR="004D4723">
        <w:t xml:space="preserve"> emissions inventory analysis determined </w:t>
      </w:r>
      <w:r w:rsidR="00162922">
        <w:t xml:space="preserve">that </w:t>
      </w:r>
      <w:r w:rsidR="00EE2E8E">
        <w:t xml:space="preserve">point </w:t>
      </w:r>
      <w:r w:rsidR="00162922">
        <w:t>sources were the</w:t>
      </w:r>
      <w:r w:rsidR="00EE2E8E">
        <w:t xml:space="preserve"> overwhelming </w:t>
      </w:r>
      <w:r w:rsidR="001C6A1B">
        <w:t xml:space="preserve">source of </w:t>
      </w:r>
      <w:r w:rsidR="004D4723">
        <w:t>SO</w:t>
      </w:r>
      <w:r w:rsidR="004D4723" w:rsidRPr="00F65924">
        <w:rPr>
          <w:vertAlign w:val="subscript"/>
        </w:rPr>
        <w:t>2</w:t>
      </w:r>
      <w:r w:rsidR="004D4723">
        <w:t xml:space="preserve"> </w:t>
      </w:r>
      <w:r w:rsidR="001C6A1B">
        <w:t>emissions</w:t>
      </w:r>
      <w:r w:rsidR="004D4723">
        <w:t>.</w:t>
      </w:r>
      <w:r w:rsidR="001C6A1B">
        <w:rPr>
          <w:rStyle w:val="FootnoteReference"/>
        </w:rPr>
        <w:footnoteReference w:id="4"/>
      </w:r>
      <w:r w:rsidR="00EE2E8E">
        <w:t xml:space="preserve"> </w:t>
      </w:r>
    </w:p>
    <w:p w14:paraId="35D16986" w14:textId="77777777" w:rsidR="00D33633" w:rsidRDefault="000B30E5" w:rsidP="000B30E5">
      <w:pPr>
        <w:pStyle w:val="Heading2"/>
      </w:pPr>
      <w:bookmarkStart w:id="9" w:name="_Toc447733819"/>
      <w:r>
        <w:t>Results</w:t>
      </w:r>
      <w:bookmarkEnd w:id="9"/>
    </w:p>
    <w:p w14:paraId="3DCA13AB" w14:textId="498EAAAE" w:rsidR="000B30E5" w:rsidRDefault="00706E0E" w:rsidP="000B30E5">
      <w:pPr>
        <w:pStyle w:val="Heading3"/>
      </w:pPr>
      <w:bookmarkStart w:id="10" w:name="_Toc447733820"/>
      <w:r>
        <w:t>State Population Weighted Centroid Analysis</w:t>
      </w:r>
      <w:r w:rsidR="000B30E5">
        <w:t xml:space="preserve"> (State Totals &amp; Comparison to 2012 Analysis):</w:t>
      </w:r>
      <w:bookmarkEnd w:id="10"/>
      <w:r w:rsidR="000B30E5">
        <w:t xml:space="preserve"> </w:t>
      </w:r>
    </w:p>
    <w:p w14:paraId="0C6166BC" w14:textId="33649068" w:rsidR="000B30E5" w:rsidRDefault="003E4A74" w:rsidP="000B30E5">
      <w:r>
        <w:t xml:space="preserve">For all of the analyses historical and current, </w:t>
      </w:r>
      <w:r w:rsidR="00764A94">
        <w:t xml:space="preserve">Ohio was determined to be one of the top two contributors for all of the eight </w:t>
      </w:r>
      <w:r w:rsidR="00706E0E">
        <w:t>Class I</w:t>
      </w:r>
      <w:r w:rsidR="00764A94">
        <w:t xml:space="preserve"> areas reviewed. Pennsylvania </w:t>
      </w:r>
      <w:r w:rsidR="00394CA3">
        <w:t>also continues to be</w:t>
      </w:r>
      <w:r w:rsidR="00764A94">
        <w:t xml:space="preserve"> one of the top three for seven of the eight receptors. </w:t>
      </w:r>
      <w:r w:rsidR="00054CA2">
        <w:t>The majority of the top five contributo</w:t>
      </w:r>
      <w:r w:rsidR="00D0006A">
        <w:t>rs were very similar to the previous</w:t>
      </w:r>
      <w:r w:rsidR="00054CA2">
        <w:t xml:space="preserve"> analysis, however significant reshuffling of the top five is apparent indicating the emissions reductions achieved were not equally applied among </w:t>
      </w:r>
      <w:r w:rsidR="00E03B01">
        <w:t xml:space="preserve">the </w:t>
      </w:r>
      <w:r w:rsidR="00054CA2">
        <w:t>neighboring states, see</w:t>
      </w:r>
      <w:r w:rsidR="0046507E">
        <w:t xml:space="preserve"> </w:t>
      </w:r>
      <w:r w:rsidR="0046507E">
        <w:fldChar w:fldCharType="begin"/>
      </w:r>
      <w:r w:rsidR="0046507E">
        <w:instrText xml:space="preserve"> REF _Ref436986280 \h </w:instrText>
      </w:r>
      <w:r w:rsidR="0046507E">
        <w:fldChar w:fldCharType="separate"/>
      </w:r>
      <w:r w:rsidR="00EC31AC">
        <w:t xml:space="preserve">Table </w:t>
      </w:r>
      <w:r w:rsidR="00EC31AC">
        <w:rPr>
          <w:noProof/>
        </w:rPr>
        <w:t>1</w:t>
      </w:r>
      <w:r w:rsidR="0046507E">
        <w:fldChar w:fldCharType="end"/>
      </w:r>
      <w:r w:rsidR="00054CA2">
        <w:t xml:space="preserve">. </w:t>
      </w:r>
    </w:p>
    <w:p w14:paraId="0FAEE516" w14:textId="37354B46" w:rsidR="003B74B3" w:rsidRDefault="003B74B3" w:rsidP="003B74B3">
      <w:pPr>
        <w:pStyle w:val="Caption"/>
        <w:keepNext/>
      </w:pPr>
      <w:bookmarkStart w:id="11" w:name="_Ref436986280"/>
      <w:bookmarkStart w:id="12" w:name="_Toc447733834"/>
      <w:r>
        <w:t xml:space="preserve">Table </w:t>
      </w:r>
      <w:r w:rsidR="002B14BC">
        <w:fldChar w:fldCharType="begin"/>
      </w:r>
      <w:r w:rsidR="002B14BC">
        <w:instrText xml:space="preserve"> SEQ Table \* ARABIC </w:instrText>
      </w:r>
      <w:r w:rsidR="002B14BC">
        <w:fldChar w:fldCharType="separate"/>
      </w:r>
      <w:r w:rsidR="00EC31AC">
        <w:rPr>
          <w:noProof/>
        </w:rPr>
        <w:t>1</w:t>
      </w:r>
      <w:r w:rsidR="002B14BC">
        <w:rPr>
          <w:noProof/>
        </w:rPr>
        <w:fldChar w:fldCharType="end"/>
      </w:r>
      <w:bookmarkEnd w:id="11"/>
      <w:r>
        <w:t xml:space="preserve">. Top Five Contributing </w:t>
      </w:r>
      <w:r w:rsidR="00A851F4">
        <w:t xml:space="preserve">U.S. </w:t>
      </w:r>
      <w:r>
        <w:t xml:space="preserve">States for Total State </w:t>
      </w:r>
      <w:r w:rsidR="00084EC7">
        <w:t>SO</w:t>
      </w:r>
      <w:r w:rsidR="00084EC7" w:rsidRPr="00084EC7">
        <w:rPr>
          <w:vertAlign w:val="subscript"/>
        </w:rPr>
        <w:t>2</w:t>
      </w:r>
      <w:r>
        <w:t xml:space="preserve"> Emissions </w:t>
      </w:r>
      <w:r w:rsidR="00C512C0">
        <w:t>o</w:t>
      </w:r>
      <w:r>
        <w:t>ver the Three Analyses</w:t>
      </w:r>
      <w:bookmarkEnd w:id="12"/>
    </w:p>
    <w:tbl>
      <w:tblPr>
        <w:tblStyle w:val="TableGrid"/>
        <w:tblW w:w="0" w:type="auto"/>
        <w:tblLook w:val="04A0" w:firstRow="1" w:lastRow="0" w:firstColumn="1" w:lastColumn="0" w:noHBand="0" w:noVBand="1"/>
      </w:tblPr>
      <w:tblGrid>
        <w:gridCol w:w="1663"/>
        <w:gridCol w:w="1368"/>
        <w:gridCol w:w="1896"/>
        <w:gridCol w:w="2784"/>
        <w:gridCol w:w="1619"/>
      </w:tblGrid>
      <w:tr w:rsidR="003027D4" w14:paraId="0AFE6182" w14:textId="77777777" w:rsidTr="00A851F4">
        <w:trPr>
          <w:tblHeader/>
        </w:trPr>
        <w:tc>
          <w:tcPr>
            <w:tcW w:w="1663" w:type="dxa"/>
            <w:tcBorders>
              <w:top w:val="single" w:sz="12" w:space="0" w:color="auto"/>
              <w:left w:val="single" w:sz="12" w:space="0" w:color="auto"/>
              <w:bottom w:val="single" w:sz="12" w:space="0" w:color="auto"/>
            </w:tcBorders>
          </w:tcPr>
          <w:p w14:paraId="4397259A" w14:textId="2AE763E1" w:rsidR="008063DC" w:rsidRPr="00A851F4" w:rsidRDefault="00706E0E" w:rsidP="000B30E5">
            <w:pPr>
              <w:rPr>
                <w:b/>
              </w:rPr>
            </w:pPr>
            <w:r w:rsidRPr="00A851F4">
              <w:rPr>
                <w:b/>
              </w:rPr>
              <w:t>Class I</w:t>
            </w:r>
            <w:r w:rsidR="008063DC" w:rsidRPr="00A851F4">
              <w:rPr>
                <w:b/>
              </w:rPr>
              <w:t xml:space="preserve"> Area (Receptor)</w:t>
            </w:r>
          </w:p>
        </w:tc>
        <w:tc>
          <w:tcPr>
            <w:tcW w:w="1368" w:type="dxa"/>
            <w:tcBorders>
              <w:top w:val="single" w:sz="12" w:space="0" w:color="auto"/>
              <w:bottom w:val="single" w:sz="12" w:space="0" w:color="auto"/>
            </w:tcBorders>
          </w:tcPr>
          <w:p w14:paraId="188A7005" w14:textId="77777777" w:rsidR="008063DC" w:rsidRPr="00A851F4" w:rsidRDefault="008063DC" w:rsidP="000B30E5">
            <w:pPr>
              <w:rPr>
                <w:b/>
              </w:rPr>
            </w:pPr>
            <w:r w:rsidRPr="00A851F4">
              <w:rPr>
                <w:b/>
              </w:rPr>
              <w:t>Rank</w:t>
            </w:r>
          </w:p>
        </w:tc>
        <w:tc>
          <w:tcPr>
            <w:tcW w:w="1896" w:type="dxa"/>
            <w:tcBorders>
              <w:top w:val="single" w:sz="12" w:space="0" w:color="auto"/>
              <w:bottom w:val="single" w:sz="12" w:space="0" w:color="auto"/>
            </w:tcBorders>
          </w:tcPr>
          <w:p w14:paraId="11F838F3" w14:textId="77777777" w:rsidR="008063DC" w:rsidRPr="00A851F4" w:rsidRDefault="008063DC" w:rsidP="000B30E5">
            <w:pPr>
              <w:rPr>
                <w:b/>
              </w:rPr>
            </w:pPr>
            <w:r w:rsidRPr="00A851F4">
              <w:rPr>
                <w:b/>
              </w:rPr>
              <w:t>2002 Analysis</w:t>
            </w:r>
          </w:p>
          <w:p w14:paraId="7AAD808A" w14:textId="77777777" w:rsidR="008063DC" w:rsidRPr="00A851F4" w:rsidRDefault="008063DC" w:rsidP="000B30E5">
            <w:pPr>
              <w:rPr>
                <w:b/>
              </w:rPr>
            </w:pPr>
            <w:r w:rsidRPr="00A851F4">
              <w:rPr>
                <w:b/>
              </w:rPr>
              <w:t>(2002 emissions)</w:t>
            </w:r>
          </w:p>
        </w:tc>
        <w:tc>
          <w:tcPr>
            <w:tcW w:w="2784" w:type="dxa"/>
            <w:tcBorders>
              <w:top w:val="single" w:sz="12" w:space="0" w:color="auto"/>
              <w:bottom w:val="single" w:sz="12" w:space="0" w:color="auto"/>
            </w:tcBorders>
          </w:tcPr>
          <w:p w14:paraId="6D292C29" w14:textId="77777777" w:rsidR="008063DC" w:rsidRPr="00A851F4" w:rsidRDefault="008063DC" w:rsidP="000B30E5">
            <w:pPr>
              <w:rPr>
                <w:b/>
              </w:rPr>
            </w:pPr>
            <w:r w:rsidRPr="00A851F4">
              <w:rPr>
                <w:b/>
              </w:rPr>
              <w:t>2012</w:t>
            </w:r>
            <w:r w:rsidR="00AA4C5B" w:rsidRPr="00A851F4">
              <w:rPr>
                <w:b/>
              </w:rPr>
              <w:t xml:space="preserve"> Analysis</w:t>
            </w:r>
          </w:p>
          <w:p w14:paraId="5F900ED0" w14:textId="08DC2EED" w:rsidR="008063DC" w:rsidRPr="00A851F4" w:rsidRDefault="008063DC">
            <w:pPr>
              <w:rPr>
                <w:b/>
              </w:rPr>
            </w:pPr>
            <w:r w:rsidRPr="00A851F4">
              <w:rPr>
                <w:b/>
              </w:rPr>
              <w:t>(200</w:t>
            </w:r>
            <w:r w:rsidR="001C6A1B" w:rsidRPr="00A851F4">
              <w:rPr>
                <w:b/>
              </w:rPr>
              <w:t>7* em</w:t>
            </w:r>
            <w:r w:rsidRPr="00A851F4">
              <w:rPr>
                <w:b/>
              </w:rPr>
              <w:t>issions)</w:t>
            </w:r>
          </w:p>
        </w:tc>
        <w:tc>
          <w:tcPr>
            <w:tcW w:w="1619" w:type="dxa"/>
            <w:tcBorders>
              <w:top w:val="single" w:sz="12" w:space="0" w:color="auto"/>
              <w:bottom w:val="single" w:sz="12" w:space="0" w:color="auto"/>
              <w:right w:val="single" w:sz="12" w:space="0" w:color="auto"/>
            </w:tcBorders>
          </w:tcPr>
          <w:p w14:paraId="34952D63" w14:textId="77777777" w:rsidR="008063DC" w:rsidRPr="00A851F4" w:rsidRDefault="008063DC" w:rsidP="000B30E5">
            <w:pPr>
              <w:rPr>
                <w:b/>
              </w:rPr>
            </w:pPr>
            <w:r w:rsidRPr="00A851F4">
              <w:rPr>
                <w:b/>
              </w:rPr>
              <w:t>2015</w:t>
            </w:r>
            <w:r w:rsidR="00AA4C5B" w:rsidRPr="00A851F4">
              <w:rPr>
                <w:b/>
              </w:rPr>
              <w:t xml:space="preserve"> Analysis</w:t>
            </w:r>
          </w:p>
          <w:p w14:paraId="59FAF10D" w14:textId="77777777" w:rsidR="008063DC" w:rsidRPr="00A851F4" w:rsidRDefault="008063DC" w:rsidP="000B30E5">
            <w:pPr>
              <w:rPr>
                <w:b/>
              </w:rPr>
            </w:pPr>
            <w:r w:rsidRPr="00A851F4">
              <w:rPr>
                <w:b/>
              </w:rPr>
              <w:t>(2011 emissions)</w:t>
            </w:r>
          </w:p>
        </w:tc>
      </w:tr>
      <w:tr w:rsidR="00A851F4" w14:paraId="25D657AF" w14:textId="77777777" w:rsidTr="00D24ECF">
        <w:tc>
          <w:tcPr>
            <w:tcW w:w="1663" w:type="dxa"/>
            <w:vMerge w:val="restart"/>
            <w:tcBorders>
              <w:top w:val="single" w:sz="12" w:space="0" w:color="auto"/>
              <w:left w:val="single" w:sz="12" w:space="0" w:color="auto"/>
            </w:tcBorders>
            <w:textDirection w:val="btLr"/>
            <w:vAlign w:val="center"/>
          </w:tcPr>
          <w:p w14:paraId="5BEF6D46" w14:textId="77777777" w:rsidR="00A851F4" w:rsidRDefault="00A851F4" w:rsidP="008063DC">
            <w:pPr>
              <w:ind w:left="113" w:right="113"/>
              <w:jc w:val="center"/>
            </w:pPr>
            <w:r>
              <w:t>Acadia</w:t>
            </w:r>
          </w:p>
        </w:tc>
        <w:tc>
          <w:tcPr>
            <w:tcW w:w="1368" w:type="dxa"/>
            <w:tcBorders>
              <w:top w:val="single" w:sz="12" w:space="0" w:color="auto"/>
            </w:tcBorders>
            <w:vAlign w:val="center"/>
          </w:tcPr>
          <w:p w14:paraId="0B40075A" w14:textId="77777777" w:rsidR="00A851F4" w:rsidRDefault="00A851F4" w:rsidP="008063DC">
            <w:pPr>
              <w:jc w:val="center"/>
            </w:pPr>
            <w:r>
              <w:t>1</w:t>
            </w:r>
          </w:p>
        </w:tc>
        <w:tc>
          <w:tcPr>
            <w:tcW w:w="1896" w:type="dxa"/>
            <w:vMerge w:val="restart"/>
            <w:tcBorders>
              <w:top w:val="single" w:sz="12" w:space="0" w:color="auto"/>
            </w:tcBorders>
          </w:tcPr>
          <w:p w14:paraId="3266B0E8" w14:textId="77777777" w:rsidR="00A851F4" w:rsidRDefault="00A851F4" w:rsidP="000B30E5">
            <w:r>
              <w:t>Pennsylvania/Ohio</w:t>
            </w:r>
          </w:p>
        </w:tc>
        <w:tc>
          <w:tcPr>
            <w:tcW w:w="2784" w:type="dxa"/>
            <w:tcBorders>
              <w:top w:val="single" w:sz="12" w:space="0" w:color="auto"/>
            </w:tcBorders>
          </w:tcPr>
          <w:p w14:paraId="289D8A60" w14:textId="77777777" w:rsidR="00A851F4" w:rsidRDefault="00A851F4" w:rsidP="000B30E5">
            <w:r>
              <w:t>Pennsylvania</w:t>
            </w:r>
          </w:p>
        </w:tc>
        <w:tc>
          <w:tcPr>
            <w:tcW w:w="1619" w:type="dxa"/>
            <w:tcBorders>
              <w:top w:val="single" w:sz="12" w:space="0" w:color="auto"/>
              <w:right w:val="single" w:sz="12" w:space="0" w:color="auto"/>
            </w:tcBorders>
          </w:tcPr>
          <w:p w14:paraId="3ED25366" w14:textId="77777777" w:rsidR="00A851F4" w:rsidRDefault="00A851F4" w:rsidP="000B30E5">
            <w:r>
              <w:t>Ohio</w:t>
            </w:r>
          </w:p>
        </w:tc>
      </w:tr>
      <w:tr w:rsidR="00A851F4" w14:paraId="50B04BE6" w14:textId="77777777" w:rsidTr="00D24ECF">
        <w:tc>
          <w:tcPr>
            <w:tcW w:w="1663" w:type="dxa"/>
            <w:vMerge/>
            <w:tcBorders>
              <w:left w:val="single" w:sz="12" w:space="0" w:color="auto"/>
            </w:tcBorders>
          </w:tcPr>
          <w:p w14:paraId="2AEE9012" w14:textId="77777777" w:rsidR="00A851F4" w:rsidRDefault="00A851F4" w:rsidP="00D24ECF"/>
        </w:tc>
        <w:tc>
          <w:tcPr>
            <w:tcW w:w="1368" w:type="dxa"/>
            <w:vAlign w:val="center"/>
          </w:tcPr>
          <w:p w14:paraId="1D19BE8F" w14:textId="77777777" w:rsidR="00A851F4" w:rsidRDefault="00A851F4" w:rsidP="00D24ECF">
            <w:pPr>
              <w:jc w:val="center"/>
            </w:pPr>
            <w:r>
              <w:t>2</w:t>
            </w:r>
          </w:p>
        </w:tc>
        <w:tc>
          <w:tcPr>
            <w:tcW w:w="1896" w:type="dxa"/>
            <w:vMerge/>
          </w:tcPr>
          <w:p w14:paraId="7FB03A61" w14:textId="04199399" w:rsidR="00A851F4" w:rsidRDefault="00A851F4" w:rsidP="00D24ECF"/>
        </w:tc>
        <w:tc>
          <w:tcPr>
            <w:tcW w:w="2784" w:type="dxa"/>
          </w:tcPr>
          <w:p w14:paraId="26BC918D" w14:textId="77777777" w:rsidR="00A851F4" w:rsidRDefault="00A851F4" w:rsidP="00D24ECF">
            <w:r>
              <w:t>Ohio</w:t>
            </w:r>
          </w:p>
        </w:tc>
        <w:tc>
          <w:tcPr>
            <w:tcW w:w="1619" w:type="dxa"/>
            <w:tcBorders>
              <w:right w:val="single" w:sz="12" w:space="0" w:color="auto"/>
            </w:tcBorders>
          </w:tcPr>
          <w:p w14:paraId="2B28A0DF" w14:textId="77777777" w:rsidR="00A851F4" w:rsidRDefault="00A851F4" w:rsidP="00D24ECF">
            <w:r>
              <w:t>Pennsylvania</w:t>
            </w:r>
          </w:p>
        </w:tc>
      </w:tr>
      <w:tr w:rsidR="00D24ECF" w14:paraId="508877FE" w14:textId="77777777" w:rsidTr="00D24ECF">
        <w:tc>
          <w:tcPr>
            <w:tcW w:w="1663" w:type="dxa"/>
            <w:vMerge/>
            <w:tcBorders>
              <w:left w:val="single" w:sz="12" w:space="0" w:color="auto"/>
            </w:tcBorders>
          </w:tcPr>
          <w:p w14:paraId="165C9BEF" w14:textId="77777777" w:rsidR="00D24ECF" w:rsidRDefault="00D24ECF" w:rsidP="00D24ECF"/>
        </w:tc>
        <w:tc>
          <w:tcPr>
            <w:tcW w:w="1368" w:type="dxa"/>
            <w:vAlign w:val="center"/>
          </w:tcPr>
          <w:p w14:paraId="79D6F072" w14:textId="77777777" w:rsidR="00D24ECF" w:rsidRDefault="00D24ECF" w:rsidP="00D24ECF">
            <w:pPr>
              <w:jc w:val="center"/>
            </w:pPr>
            <w:r>
              <w:t>3</w:t>
            </w:r>
          </w:p>
        </w:tc>
        <w:tc>
          <w:tcPr>
            <w:tcW w:w="1896" w:type="dxa"/>
          </w:tcPr>
          <w:p w14:paraId="45D33056" w14:textId="77777777" w:rsidR="00D24ECF" w:rsidRDefault="00D24ECF" w:rsidP="00D24ECF">
            <w:r>
              <w:t>New York</w:t>
            </w:r>
          </w:p>
        </w:tc>
        <w:tc>
          <w:tcPr>
            <w:tcW w:w="2784" w:type="dxa"/>
          </w:tcPr>
          <w:p w14:paraId="51F234DF" w14:textId="77777777" w:rsidR="00D24ECF" w:rsidRDefault="00D24ECF" w:rsidP="00D24ECF">
            <w:r>
              <w:t>Indiana</w:t>
            </w:r>
          </w:p>
        </w:tc>
        <w:tc>
          <w:tcPr>
            <w:tcW w:w="1619" w:type="dxa"/>
            <w:tcBorders>
              <w:right w:val="single" w:sz="12" w:space="0" w:color="auto"/>
            </w:tcBorders>
          </w:tcPr>
          <w:p w14:paraId="53E342DA" w14:textId="77777777" w:rsidR="00D24ECF" w:rsidRDefault="00D24ECF" w:rsidP="00D24ECF">
            <w:r>
              <w:t>Indiana</w:t>
            </w:r>
          </w:p>
        </w:tc>
      </w:tr>
      <w:tr w:rsidR="00D24ECF" w14:paraId="6A701179" w14:textId="77777777" w:rsidTr="00D24ECF">
        <w:tc>
          <w:tcPr>
            <w:tcW w:w="1663" w:type="dxa"/>
            <w:vMerge/>
            <w:tcBorders>
              <w:left w:val="single" w:sz="12" w:space="0" w:color="auto"/>
            </w:tcBorders>
          </w:tcPr>
          <w:p w14:paraId="1E701A1A" w14:textId="77777777" w:rsidR="00D24ECF" w:rsidRDefault="00D24ECF" w:rsidP="00D24ECF"/>
        </w:tc>
        <w:tc>
          <w:tcPr>
            <w:tcW w:w="1368" w:type="dxa"/>
            <w:vAlign w:val="center"/>
          </w:tcPr>
          <w:p w14:paraId="4DA60E38" w14:textId="77777777" w:rsidR="00D24ECF" w:rsidRDefault="00D24ECF" w:rsidP="00D24ECF">
            <w:pPr>
              <w:jc w:val="center"/>
            </w:pPr>
            <w:r>
              <w:t>4</w:t>
            </w:r>
          </w:p>
        </w:tc>
        <w:tc>
          <w:tcPr>
            <w:tcW w:w="1896" w:type="dxa"/>
          </w:tcPr>
          <w:p w14:paraId="767C4BB6" w14:textId="77777777" w:rsidR="00D24ECF" w:rsidRDefault="00D24ECF" w:rsidP="00D24ECF">
            <w:r>
              <w:t>Indiana</w:t>
            </w:r>
          </w:p>
        </w:tc>
        <w:tc>
          <w:tcPr>
            <w:tcW w:w="2784" w:type="dxa"/>
          </w:tcPr>
          <w:p w14:paraId="19718F5D" w14:textId="3EB8161E" w:rsidR="00D24ECF" w:rsidRDefault="00D24ECF" w:rsidP="00A851F4">
            <w:r>
              <w:t>Michigan</w:t>
            </w:r>
          </w:p>
        </w:tc>
        <w:tc>
          <w:tcPr>
            <w:tcW w:w="1619" w:type="dxa"/>
            <w:tcBorders>
              <w:right w:val="single" w:sz="12" w:space="0" w:color="auto"/>
            </w:tcBorders>
          </w:tcPr>
          <w:p w14:paraId="34959B35" w14:textId="77777777" w:rsidR="00D24ECF" w:rsidRDefault="00D24ECF" w:rsidP="00D24ECF">
            <w:r>
              <w:t>Michigan</w:t>
            </w:r>
          </w:p>
        </w:tc>
      </w:tr>
      <w:tr w:rsidR="00D24ECF" w14:paraId="0A1EC2D5" w14:textId="77777777" w:rsidTr="00D24ECF">
        <w:tc>
          <w:tcPr>
            <w:tcW w:w="1663" w:type="dxa"/>
            <w:vMerge/>
            <w:tcBorders>
              <w:left w:val="single" w:sz="12" w:space="0" w:color="auto"/>
              <w:bottom w:val="single" w:sz="12" w:space="0" w:color="auto"/>
            </w:tcBorders>
          </w:tcPr>
          <w:p w14:paraId="685B4B43" w14:textId="77777777" w:rsidR="00D24ECF" w:rsidRDefault="00D24ECF" w:rsidP="00D24ECF"/>
        </w:tc>
        <w:tc>
          <w:tcPr>
            <w:tcW w:w="1368" w:type="dxa"/>
            <w:tcBorders>
              <w:bottom w:val="single" w:sz="12" w:space="0" w:color="auto"/>
            </w:tcBorders>
            <w:vAlign w:val="center"/>
          </w:tcPr>
          <w:p w14:paraId="1163304B" w14:textId="77777777" w:rsidR="00D24ECF" w:rsidRDefault="00D24ECF" w:rsidP="00D24ECF">
            <w:pPr>
              <w:jc w:val="center"/>
            </w:pPr>
            <w:r>
              <w:t>5</w:t>
            </w:r>
          </w:p>
        </w:tc>
        <w:tc>
          <w:tcPr>
            <w:tcW w:w="1896" w:type="dxa"/>
            <w:tcBorders>
              <w:bottom w:val="single" w:sz="12" w:space="0" w:color="auto"/>
            </w:tcBorders>
          </w:tcPr>
          <w:p w14:paraId="254076C1" w14:textId="3F9FB546" w:rsidR="00D24ECF" w:rsidRDefault="00A851F4" w:rsidP="00D24ECF">
            <w:r>
              <w:t>West Virginia/ Massachusetts</w:t>
            </w:r>
          </w:p>
        </w:tc>
        <w:tc>
          <w:tcPr>
            <w:tcW w:w="2784" w:type="dxa"/>
            <w:tcBorders>
              <w:bottom w:val="single" w:sz="12" w:space="0" w:color="auto"/>
            </w:tcBorders>
          </w:tcPr>
          <w:p w14:paraId="351884DC" w14:textId="77777777" w:rsidR="00D24ECF" w:rsidRDefault="00D24ECF" w:rsidP="00D24ECF">
            <w:r>
              <w:t>Georgia</w:t>
            </w:r>
          </w:p>
        </w:tc>
        <w:tc>
          <w:tcPr>
            <w:tcW w:w="1619" w:type="dxa"/>
            <w:tcBorders>
              <w:bottom w:val="single" w:sz="12" w:space="0" w:color="auto"/>
              <w:right w:val="single" w:sz="12" w:space="0" w:color="auto"/>
            </w:tcBorders>
          </w:tcPr>
          <w:p w14:paraId="08ADAEFD" w14:textId="77777777" w:rsidR="00D24ECF" w:rsidRDefault="00D24ECF" w:rsidP="00D24ECF">
            <w:r>
              <w:t>Illinois</w:t>
            </w:r>
          </w:p>
        </w:tc>
      </w:tr>
      <w:tr w:rsidR="00D24ECF" w14:paraId="1861A4D2" w14:textId="77777777" w:rsidTr="00D24ECF">
        <w:tc>
          <w:tcPr>
            <w:tcW w:w="1663" w:type="dxa"/>
            <w:vMerge w:val="restart"/>
            <w:tcBorders>
              <w:top w:val="single" w:sz="12" w:space="0" w:color="auto"/>
              <w:left w:val="single" w:sz="12" w:space="0" w:color="auto"/>
            </w:tcBorders>
            <w:textDirection w:val="btLr"/>
            <w:vAlign w:val="center"/>
          </w:tcPr>
          <w:p w14:paraId="59250B37" w14:textId="77777777" w:rsidR="00D24ECF" w:rsidRDefault="00D24ECF" w:rsidP="00D24ECF">
            <w:pPr>
              <w:ind w:left="113" w:right="113"/>
              <w:jc w:val="center"/>
            </w:pPr>
            <w:r>
              <w:t>Brigantine</w:t>
            </w:r>
          </w:p>
        </w:tc>
        <w:tc>
          <w:tcPr>
            <w:tcW w:w="1368" w:type="dxa"/>
            <w:tcBorders>
              <w:top w:val="single" w:sz="12" w:space="0" w:color="auto"/>
            </w:tcBorders>
          </w:tcPr>
          <w:p w14:paraId="7D2C32C4" w14:textId="77777777" w:rsidR="00D24ECF" w:rsidRDefault="00D24ECF" w:rsidP="00D24ECF">
            <w:pPr>
              <w:jc w:val="center"/>
            </w:pPr>
            <w:r>
              <w:t>1</w:t>
            </w:r>
          </w:p>
        </w:tc>
        <w:tc>
          <w:tcPr>
            <w:tcW w:w="1896" w:type="dxa"/>
            <w:tcBorders>
              <w:top w:val="single" w:sz="12" w:space="0" w:color="auto"/>
            </w:tcBorders>
          </w:tcPr>
          <w:p w14:paraId="23A477B9" w14:textId="77777777" w:rsidR="00D24ECF" w:rsidRDefault="00D24ECF" w:rsidP="00D24ECF">
            <w:r>
              <w:t>Pennsylvania</w:t>
            </w:r>
          </w:p>
        </w:tc>
        <w:tc>
          <w:tcPr>
            <w:tcW w:w="2784" w:type="dxa"/>
            <w:tcBorders>
              <w:top w:val="single" w:sz="12" w:space="0" w:color="auto"/>
            </w:tcBorders>
          </w:tcPr>
          <w:p w14:paraId="7791CB0C" w14:textId="77777777" w:rsidR="00D24ECF" w:rsidRDefault="00D24ECF" w:rsidP="00D24ECF">
            <w:r>
              <w:t>Pennsylvania</w:t>
            </w:r>
          </w:p>
        </w:tc>
        <w:tc>
          <w:tcPr>
            <w:tcW w:w="1619" w:type="dxa"/>
            <w:tcBorders>
              <w:top w:val="single" w:sz="12" w:space="0" w:color="auto"/>
              <w:right w:val="single" w:sz="12" w:space="0" w:color="auto"/>
            </w:tcBorders>
          </w:tcPr>
          <w:p w14:paraId="2F277935" w14:textId="77777777" w:rsidR="00D24ECF" w:rsidRDefault="00D24ECF" w:rsidP="00D24ECF">
            <w:r>
              <w:t>Pennsylvania</w:t>
            </w:r>
          </w:p>
        </w:tc>
      </w:tr>
      <w:tr w:rsidR="00D24ECF" w14:paraId="67B56291" w14:textId="77777777" w:rsidTr="00D24ECF">
        <w:tc>
          <w:tcPr>
            <w:tcW w:w="1663" w:type="dxa"/>
            <w:vMerge/>
            <w:tcBorders>
              <w:left w:val="single" w:sz="12" w:space="0" w:color="auto"/>
            </w:tcBorders>
          </w:tcPr>
          <w:p w14:paraId="74FCD976" w14:textId="77777777" w:rsidR="00D24ECF" w:rsidRDefault="00D24ECF" w:rsidP="00D24ECF"/>
        </w:tc>
        <w:tc>
          <w:tcPr>
            <w:tcW w:w="1368" w:type="dxa"/>
          </w:tcPr>
          <w:p w14:paraId="232F8785" w14:textId="77777777" w:rsidR="00D24ECF" w:rsidRDefault="00D24ECF" w:rsidP="00D24ECF">
            <w:pPr>
              <w:jc w:val="center"/>
            </w:pPr>
            <w:r>
              <w:t>2</w:t>
            </w:r>
          </w:p>
        </w:tc>
        <w:tc>
          <w:tcPr>
            <w:tcW w:w="1896" w:type="dxa"/>
          </w:tcPr>
          <w:p w14:paraId="716EB256" w14:textId="77777777" w:rsidR="00D24ECF" w:rsidRDefault="00D24ECF" w:rsidP="00D24ECF">
            <w:r>
              <w:t>Ohio</w:t>
            </w:r>
          </w:p>
        </w:tc>
        <w:tc>
          <w:tcPr>
            <w:tcW w:w="2784" w:type="dxa"/>
          </w:tcPr>
          <w:p w14:paraId="3EBC6FD9" w14:textId="77777777" w:rsidR="00D24ECF" w:rsidRDefault="00D24ECF" w:rsidP="00D24ECF">
            <w:r>
              <w:t>Maryland</w:t>
            </w:r>
          </w:p>
        </w:tc>
        <w:tc>
          <w:tcPr>
            <w:tcW w:w="1619" w:type="dxa"/>
            <w:tcBorders>
              <w:right w:val="single" w:sz="12" w:space="0" w:color="auto"/>
            </w:tcBorders>
          </w:tcPr>
          <w:p w14:paraId="5E1BB32B" w14:textId="77777777" w:rsidR="00D24ECF" w:rsidRDefault="00D24ECF" w:rsidP="00D24ECF">
            <w:r>
              <w:t>Ohio</w:t>
            </w:r>
          </w:p>
        </w:tc>
      </w:tr>
      <w:tr w:rsidR="00D24ECF" w14:paraId="5D4356FA" w14:textId="77777777" w:rsidTr="00D24ECF">
        <w:tc>
          <w:tcPr>
            <w:tcW w:w="1663" w:type="dxa"/>
            <w:vMerge/>
            <w:tcBorders>
              <w:left w:val="single" w:sz="12" w:space="0" w:color="auto"/>
            </w:tcBorders>
          </w:tcPr>
          <w:p w14:paraId="34934EBC" w14:textId="77777777" w:rsidR="00D24ECF" w:rsidRDefault="00D24ECF" w:rsidP="00D24ECF"/>
        </w:tc>
        <w:tc>
          <w:tcPr>
            <w:tcW w:w="1368" w:type="dxa"/>
          </w:tcPr>
          <w:p w14:paraId="12405805" w14:textId="77777777" w:rsidR="00D24ECF" w:rsidRDefault="00D24ECF" w:rsidP="00D24ECF">
            <w:pPr>
              <w:jc w:val="center"/>
            </w:pPr>
            <w:r>
              <w:t>3</w:t>
            </w:r>
          </w:p>
        </w:tc>
        <w:tc>
          <w:tcPr>
            <w:tcW w:w="1896" w:type="dxa"/>
          </w:tcPr>
          <w:p w14:paraId="497D6380" w14:textId="77777777" w:rsidR="00D24ECF" w:rsidRDefault="00D24ECF" w:rsidP="00D24ECF">
            <w:r>
              <w:t>Maryland</w:t>
            </w:r>
          </w:p>
        </w:tc>
        <w:tc>
          <w:tcPr>
            <w:tcW w:w="2784" w:type="dxa"/>
          </w:tcPr>
          <w:p w14:paraId="6A5EFB5E" w14:textId="77777777" w:rsidR="00D24ECF" w:rsidRDefault="00D24ECF" w:rsidP="00D24ECF">
            <w:r>
              <w:t>Ohio</w:t>
            </w:r>
          </w:p>
        </w:tc>
        <w:tc>
          <w:tcPr>
            <w:tcW w:w="1619" w:type="dxa"/>
            <w:tcBorders>
              <w:right w:val="single" w:sz="12" w:space="0" w:color="auto"/>
            </w:tcBorders>
          </w:tcPr>
          <w:p w14:paraId="58DE2521" w14:textId="77777777" w:rsidR="00D24ECF" w:rsidRDefault="00D24ECF" w:rsidP="00D24ECF">
            <w:r>
              <w:t>Maryland</w:t>
            </w:r>
          </w:p>
        </w:tc>
      </w:tr>
      <w:tr w:rsidR="00D24ECF" w14:paraId="44D6CF43" w14:textId="77777777" w:rsidTr="00D24ECF">
        <w:tc>
          <w:tcPr>
            <w:tcW w:w="1663" w:type="dxa"/>
            <w:vMerge/>
            <w:tcBorders>
              <w:left w:val="single" w:sz="12" w:space="0" w:color="auto"/>
            </w:tcBorders>
          </w:tcPr>
          <w:p w14:paraId="7B6C958D" w14:textId="77777777" w:rsidR="00D24ECF" w:rsidRDefault="00D24ECF" w:rsidP="00D24ECF"/>
        </w:tc>
        <w:tc>
          <w:tcPr>
            <w:tcW w:w="1368" w:type="dxa"/>
          </w:tcPr>
          <w:p w14:paraId="0FB22F2C" w14:textId="77777777" w:rsidR="00D24ECF" w:rsidRDefault="00D24ECF" w:rsidP="00D24ECF">
            <w:pPr>
              <w:jc w:val="center"/>
            </w:pPr>
            <w:r>
              <w:t>4</w:t>
            </w:r>
          </w:p>
        </w:tc>
        <w:tc>
          <w:tcPr>
            <w:tcW w:w="1896" w:type="dxa"/>
          </w:tcPr>
          <w:p w14:paraId="41C862A8" w14:textId="77777777" w:rsidR="00D24ECF" w:rsidRDefault="00D24ECF" w:rsidP="00D24ECF">
            <w:r>
              <w:t>West Virginia</w:t>
            </w:r>
          </w:p>
        </w:tc>
        <w:tc>
          <w:tcPr>
            <w:tcW w:w="2784" w:type="dxa"/>
          </w:tcPr>
          <w:p w14:paraId="3F7D9F4C" w14:textId="77777777" w:rsidR="00D24ECF" w:rsidRDefault="00D24ECF" w:rsidP="00D24ECF">
            <w:r>
              <w:t>Indiana</w:t>
            </w:r>
          </w:p>
        </w:tc>
        <w:tc>
          <w:tcPr>
            <w:tcW w:w="1619" w:type="dxa"/>
            <w:tcBorders>
              <w:right w:val="single" w:sz="12" w:space="0" w:color="auto"/>
            </w:tcBorders>
          </w:tcPr>
          <w:p w14:paraId="5154FF66" w14:textId="77777777" w:rsidR="00D24ECF" w:rsidRDefault="00D24ECF" w:rsidP="00D24ECF">
            <w:r>
              <w:t>Indiana</w:t>
            </w:r>
          </w:p>
        </w:tc>
      </w:tr>
      <w:tr w:rsidR="00D24ECF" w14:paraId="514F9F10" w14:textId="77777777" w:rsidTr="00D24ECF">
        <w:tc>
          <w:tcPr>
            <w:tcW w:w="1663" w:type="dxa"/>
            <w:vMerge/>
            <w:tcBorders>
              <w:left w:val="single" w:sz="12" w:space="0" w:color="auto"/>
              <w:bottom w:val="single" w:sz="12" w:space="0" w:color="auto"/>
            </w:tcBorders>
          </w:tcPr>
          <w:p w14:paraId="7FDA03B2" w14:textId="77777777" w:rsidR="00D24ECF" w:rsidRDefault="00D24ECF" w:rsidP="00D24ECF"/>
        </w:tc>
        <w:tc>
          <w:tcPr>
            <w:tcW w:w="1368" w:type="dxa"/>
            <w:tcBorders>
              <w:bottom w:val="single" w:sz="12" w:space="0" w:color="auto"/>
            </w:tcBorders>
          </w:tcPr>
          <w:p w14:paraId="69CCB301" w14:textId="77777777" w:rsidR="00D24ECF" w:rsidRDefault="00D24ECF" w:rsidP="00D24ECF">
            <w:pPr>
              <w:jc w:val="center"/>
            </w:pPr>
            <w:r>
              <w:t>5</w:t>
            </w:r>
          </w:p>
        </w:tc>
        <w:tc>
          <w:tcPr>
            <w:tcW w:w="1896" w:type="dxa"/>
            <w:tcBorders>
              <w:bottom w:val="single" w:sz="12" w:space="0" w:color="auto"/>
            </w:tcBorders>
          </w:tcPr>
          <w:p w14:paraId="6CFC2A91" w14:textId="77777777" w:rsidR="00D24ECF" w:rsidRDefault="00D24ECF" w:rsidP="00D24ECF">
            <w:r>
              <w:t>New York</w:t>
            </w:r>
          </w:p>
        </w:tc>
        <w:tc>
          <w:tcPr>
            <w:tcW w:w="2784" w:type="dxa"/>
            <w:tcBorders>
              <w:bottom w:val="single" w:sz="12" w:space="0" w:color="auto"/>
            </w:tcBorders>
          </w:tcPr>
          <w:p w14:paraId="20F9EA86" w14:textId="77777777" w:rsidR="00D24ECF" w:rsidRDefault="00D24ECF" w:rsidP="00D24ECF">
            <w:r>
              <w:t>West Virginia</w:t>
            </w:r>
          </w:p>
        </w:tc>
        <w:tc>
          <w:tcPr>
            <w:tcW w:w="1619" w:type="dxa"/>
            <w:tcBorders>
              <w:bottom w:val="single" w:sz="12" w:space="0" w:color="auto"/>
              <w:right w:val="single" w:sz="12" w:space="0" w:color="auto"/>
            </w:tcBorders>
          </w:tcPr>
          <w:p w14:paraId="2EA6D53F" w14:textId="77777777" w:rsidR="00D24ECF" w:rsidRDefault="00D24ECF" w:rsidP="00D24ECF">
            <w:r>
              <w:t>Kentucky</w:t>
            </w:r>
          </w:p>
        </w:tc>
      </w:tr>
      <w:tr w:rsidR="00D24ECF" w14:paraId="75577D58" w14:textId="77777777" w:rsidTr="00D24ECF">
        <w:tc>
          <w:tcPr>
            <w:tcW w:w="1663" w:type="dxa"/>
            <w:vMerge w:val="restart"/>
            <w:tcBorders>
              <w:top w:val="single" w:sz="12" w:space="0" w:color="auto"/>
              <w:left w:val="single" w:sz="12" w:space="0" w:color="auto"/>
            </w:tcBorders>
            <w:textDirection w:val="btLr"/>
            <w:vAlign w:val="center"/>
          </w:tcPr>
          <w:p w14:paraId="76960618" w14:textId="77777777" w:rsidR="00D24ECF" w:rsidRDefault="00D24ECF" w:rsidP="00D24ECF">
            <w:pPr>
              <w:ind w:left="113" w:right="113"/>
              <w:jc w:val="center"/>
            </w:pPr>
            <w:r>
              <w:t>Dolly Sods</w:t>
            </w:r>
          </w:p>
        </w:tc>
        <w:tc>
          <w:tcPr>
            <w:tcW w:w="1368" w:type="dxa"/>
            <w:tcBorders>
              <w:top w:val="single" w:sz="12" w:space="0" w:color="auto"/>
            </w:tcBorders>
          </w:tcPr>
          <w:p w14:paraId="7474CC63" w14:textId="77777777" w:rsidR="00D24ECF" w:rsidRDefault="00D24ECF" w:rsidP="00D24ECF">
            <w:pPr>
              <w:jc w:val="center"/>
            </w:pPr>
            <w:r>
              <w:t>1</w:t>
            </w:r>
          </w:p>
        </w:tc>
        <w:tc>
          <w:tcPr>
            <w:tcW w:w="1896" w:type="dxa"/>
            <w:vMerge w:val="restart"/>
            <w:tcBorders>
              <w:top w:val="single" w:sz="12" w:space="0" w:color="auto"/>
            </w:tcBorders>
            <w:shd w:val="clear" w:color="auto" w:fill="A6A6A6" w:themeFill="background1" w:themeFillShade="A6"/>
            <w:vAlign w:val="center"/>
          </w:tcPr>
          <w:p w14:paraId="3FD1F3F7" w14:textId="77777777" w:rsidR="00D24ECF" w:rsidRDefault="00D24ECF" w:rsidP="00D24ECF">
            <w:pPr>
              <w:jc w:val="center"/>
            </w:pPr>
            <w:r>
              <w:t>New to 2007 analysis, no 2002 data</w:t>
            </w:r>
          </w:p>
        </w:tc>
        <w:tc>
          <w:tcPr>
            <w:tcW w:w="2784" w:type="dxa"/>
            <w:tcBorders>
              <w:top w:val="single" w:sz="12" w:space="0" w:color="auto"/>
            </w:tcBorders>
          </w:tcPr>
          <w:p w14:paraId="74892A43" w14:textId="77777777" w:rsidR="00D24ECF" w:rsidRDefault="00D24ECF" w:rsidP="00D24ECF">
            <w:r>
              <w:t>Pennsylvania</w:t>
            </w:r>
          </w:p>
        </w:tc>
        <w:tc>
          <w:tcPr>
            <w:tcW w:w="1619" w:type="dxa"/>
            <w:tcBorders>
              <w:top w:val="single" w:sz="12" w:space="0" w:color="auto"/>
              <w:right w:val="single" w:sz="12" w:space="0" w:color="auto"/>
            </w:tcBorders>
          </w:tcPr>
          <w:p w14:paraId="4D273CE2" w14:textId="77777777" w:rsidR="00D24ECF" w:rsidRDefault="00D24ECF" w:rsidP="00D24ECF">
            <w:r>
              <w:t>Ohio</w:t>
            </w:r>
          </w:p>
        </w:tc>
      </w:tr>
      <w:tr w:rsidR="00D24ECF" w14:paraId="12E75BEE" w14:textId="77777777" w:rsidTr="00F65924">
        <w:trPr>
          <w:cantSplit/>
        </w:trPr>
        <w:tc>
          <w:tcPr>
            <w:tcW w:w="1663" w:type="dxa"/>
            <w:vMerge/>
            <w:tcBorders>
              <w:left w:val="single" w:sz="12" w:space="0" w:color="auto"/>
            </w:tcBorders>
          </w:tcPr>
          <w:p w14:paraId="3870919B" w14:textId="77777777" w:rsidR="00D24ECF" w:rsidRDefault="00D24ECF" w:rsidP="00D24ECF"/>
        </w:tc>
        <w:tc>
          <w:tcPr>
            <w:tcW w:w="1368" w:type="dxa"/>
          </w:tcPr>
          <w:p w14:paraId="518EABDE" w14:textId="77777777" w:rsidR="00D24ECF" w:rsidRDefault="00D24ECF" w:rsidP="00D24ECF">
            <w:pPr>
              <w:jc w:val="center"/>
            </w:pPr>
            <w:r>
              <w:t>2</w:t>
            </w:r>
          </w:p>
        </w:tc>
        <w:tc>
          <w:tcPr>
            <w:tcW w:w="1896" w:type="dxa"/>
            <w:vMerge/>
            <w:shd w:val="clear" w:color="auto" w:fill="A6A6A6" w:themeFill="background1" w:themeFillShade="A6"/>
          </w:tcPr>
          <w:p w14:paraId="69644534" w14:textId="77777777" w:rsidR="00D24ECF" w:rsidRDefault="00D24ECF" w:rsidP="00D24ECF"/>
        </w:tc>
        <w:tc>
          <w:tcPr>
            <w:tcW w:w="2784" w:type="dxa"/>
          </w:tcPr>
          <w:p w14:paraId="46BFC8C3" w14:textId="77777777" w:rsidR="00D24ECF" w:rsidRDefault="00D24ECF" w:rsidP="00D24ECF">
            <w:r>
              <w:t>Ohio</w:t>
            </w:r>
          </w:p>
        </w:tc>
        <w:tc>
          <w:tcPr>
            <w:tcW w:w="1619" w:type="dxa"/>
            <w:tcBorders>
              <w:right w:val="single" w:sz="12" w:space="0" w:color="auto"/>
            </w:tcBorders>
          </w:tcPr>
          <w:p w14:paraId="4685B7C2" w14:textId="77777777" w:rsidR="00D24ECF" w:rsidRDefault="00D24ECF" w:rsidP="00D24ECF">
            <w:r>
              <w:t>West Virginia</w:t>
            </w:r>
          </w:p>
        </w:tc>
      </w:tr>
      <w:tr w:rsidR="00D24ECF" w14:paraId="2D23B78D" w14:textId="77777777" w:rsidTr="00D24ECF">
        <w:tc>
          <w:tcPr>
            <w:tcW w:w="1663" w:type="dxa"/>
            <w:vMerge/>
            <w:tcBorders>
              <w:left w:val="single" w:sz="12" w:space="0" w:color="auto"/>
            </w:tcBorders>
          </w:tcPr>
          <w:p w14:paraId="50BE73C1" w14:textId="77777777" w:rsidR="00D24ECF" w:rsidRDefault="00D24ECF" w:rsidP="00D24ECF"/>
        </w:tc>
        <w:tc>
          <w:tcPr>
            <w:tcW w:w="1368" w:type="dxa"/>
          </w:tcPr>
          <w:p w14:paraId="356B9917" w14:textId="77777777" w:rsidR="00D24ECF" w:rsidRDefault="00D24ECF" w:rsidP="00D24ECF">
            <w:pPr>
              <w:jc w:val="center"/>
            </w:pPr>
            <w:r>
              <w:t>3</w:t>
            </w:r>
          </w:p>
        </w:tc>
        <w:tc>
          <w:tcPr>
            <w:tcW w:w="1896" w:type="dxa"/>
            <w:vMerge/>
            <w:shd w:val="clear" w:color="auto" w:fill="A6A6A6" w:themeFill="background1" w:themeFillShade="A6"/>
          </w:tcPr>
          <w:p w14:paraId="7BDCE95C" w14:textId="77777777" w:rsidR="00D24ECF" w:rsidRDefault="00D24ECF" w:rsidP="00D24ECF"/>
        </w:tc>
        <w:tc>
          <w:tcPr>
            <w:tcW w:w="2784" w:type="dxa"/>
          </w:tcPr>
          <w:p w14:paraId="64F15EBD" w14:textId="77777777" w:rsidR="00D24ECF" w:rsidRDefault="00D24ECF" w:rsidP="00D24ECF">
            <w:r>
              <w:t>West Virginia</w:t>
            </w:r>
          </w:p>
        </w:tc>
        <w:tc>
          <w:tcPr>
            <w:tcW w:w="1619" w:type="dxa"/>
            <w:tcBorders>
              <w:right w:val="single" w:sz="12" w:space="0" w:color="auto"/>
            </w:tcBorders>
          </w:tcPr>
          <w:p w14:paraId="1ACC5D4B" w14:textId="77777777" w:rsidR="00D24ECF" w:rsidRDefault="00D24ECF" w:rsidP="00D24ECF">
            <w:r>
              <w:t>Pennsylvania</w:t>
            </w:r>
          </w:p>
        </w:tc>
      </w:tr>
      <w:tr w:rsidR="00D24ECF" w14:paraId="12F9C255" w14:textId="77777777" w:rsidTr="00D24ECF">
        <w:tc>
          <w:tcPr>
            <w:tcW w:w="1663" w:type="dxa"/>
            <w:vMerge/>
            <w:tcBorders>
              <w:left w:val="single" w:sz="12" w:space="0" w:color="auto"/>
            </w:tcBorders>
          </w:tcPr>
          <w:p w14:paraId="4E4563A1" w14:textId="77777777" w:rsidR="00D24ECF" w:rsidRDefault="00D24ECF" w:rsidP="00D24ECF"/>
        </w:tc>
        <w:tc>
          <w:tcPr>
            <w:tcW w:w="1368" w:type="dxa"/>
          </w:tcPr>
          <w:p w14:paraId="570BF54C" w14:textId="77777777" w:rsidR="00D24ECF" w:rsidRDefault="00D24ECF" w:rsidP="00D24ECF">
            <w:pPr>
              <w:jc w:val="center"/>
            </w:pPr>
            <w:r>
              <w:t>4</w:t>
            </w:r>
          </w:p>
        </w:tc>
        <w:tc>
          <w:tcPr>
            <w:tcW w:w="1896" w:type="dxa"/>
            <w:vMerge/>
            <w:shd w:val="clear" w:color="auto" w:fill="A6A6A6" w:themeFill="background1" w:themeFillShade="A6"/>
          </w:tcPr>
          <w:p w14:paraId="00CE4E56" w14:textId="77777777" w:rsidR="00D24ECF" w:rsidRDefault="00D24ECF" w:rsidP="00D24ECF"/>
        </w:tc>
        <w:tc>
          <w:tcPr>
            <w:tcW w:w="2784" w:type="dxa"/>
          </w:tcPr>
          <w:p w14:paraId="059FF809" w14:textId="77777777" w:rsidR="00D24ECF" w:rsidRDefault="00D24ECF" w:rsidP="00D24ECF">
            <w:r>
              <w:t>Indiana</w:t>
            </w:r>
          </w:p>
        </w:tc>
        <w:tc>
          <w:tcPr>
            <w:tcW w:w="1619" w:type="dxa"/>
            <w:tcBorders>
              <w:right w:val="single" w:sz="12" w:space="0" w:color="auto"/>
            </w:tcBorders>
          </w:tcPr>
          <w:p w14:paraId="64FB2CFD" w14:textId="77777777" w:rsidR="00D24ECF" w:rsidRDefault="00D24ECF" w:rsidP="00D24ECF">
            <w:r>
              <w:t>Indiana</w:t>
            </w:r>
          </w:p>
        </w:tc>
      </w:tr>
      <w:tr w:rsidR="00D24ECF" w14:paraId="25FD503A" w14:textId="77777777" w:rsidTr="00D24ECF">
        <w:tc>
          <w:tcPr>
            <w:tcW w:w="1663" w:type="dxa"/>
            <w:vMerge/>
            <w:tcBorders>
              <w:left w:val="single" w:sz="12" w:space="0" w:color="auto"/>
              <w:bottom w:val="single" w:sz="12" w:space="0" w:color="auto"/>
            </w:tcBorders>
          </w:tcPr>
          <w:p w14:paraId="12A0F7FF" w14:textId="77777777" w:rsidR="00D24ECF" w:rsidRDefault="00D24ECF" w:rsidP="00D24ECF"/>
        </w:tc>
        <w:tc>
          <w:tcPr>
            <w:tcW w:w="1368" w:type="dxa"/>
            <w:tcBorders>
              <w:bottom w:val="single" w:sz="12" w:space="0" w:color="auto"/>
            </w:tcBorders>
          </w:tcPr>
          <w:p w14:paraId="44569F31" w14:textId="77777777" w:rsidR="00D24ECF" w:rsidRDefault="00D24ECF" w:rsidP="00D24ECF">
            <w:pPr>
              <w:jc w:val="center"/>
            </w:pPr>
            <w:r>
              <w:t>5</w:t>
            </w:r>
          </w:p>
        </w:tc>
        <w:tc>
          <w:tcPr>
            <w:tcW w:w="1896" w:type="dxa"/>
            <w:vMerge/>
            <w:tcBorders>
              <w:bottom w:val="single" w:sz="12" w:space="0" w:color="auto"/>
            </w:tcBorders>
            <w:shd w:val="clear" w:color="auto" w:fill="A6A6A6" w:themeFill="background1" w:themeFillShade="A6"/>
          </w:tcPr>
          <w:p w14:paraId="4A26056C" w14:textId="77777777" w:rsidR="00D24ECF" w:rsidRDefault="00D24ECF" w:rsidP="00D24ECF"/>
        </w:tc>
        <w:tc>
          <w:tcPr>
            <w:tcW w:w="2784" w:type="dxa"/>
            <w:tcBorders>
              <w:bottom w:val="single" w:sz="12" w:space="0" w:color="auto"/>
            </w:tcBorders>
          </w:tcPr>
          <w:p w14:paraId="2FAAEC48" w14:textId="77777777" w:rsidR="00D24ECF" w:rsidRDefault="00D24ECF" w:rsidP="00D24ECF">
            <w:r>
              <w:t>North Carolina</w:t>
            </w:r>
          </w:p>
        </w:tc>
        <w:tc>
          <w:tcPr>
            <w:tcW w:w="1619" w:type="dxa"/>
            <w:tcBorders>
              <w:bottom w:val="single" w:sz="12" w:space="0" w:color="auto"/>
              <w:right w:val="single" w:sz="12" w:space="0" w:color="auto"/>
            </w:tcBorders>
          </w:tcPr>
          <w:p w14:paraId="4B375D26" w14:textId="77777777" w:rsidR="00D24ECF" w:rsidRDefault="00D24ECF" w:rsidP="00D24ECF">
            <w:r>
              <w:t>Kentucky</w:t>
            </w:r>
          </w:p>
        </w:tc>
      </w:tr>
      <w:tr w:rsidR="00D24ECF" w14:paraId="0CB80FAF" w14:textId="77777777" w:rsidTr="00D24ECF">
        <w:tc>
          <w:tcPr>
            <w:tcW w:w="1663" w:type="dxa"/>
            <w:vMerge w:val="restart"/>
            <w:tcBorders>
              <w:top w:val="single" w:sz="12" w:space="0" w:color="auto"/>
              <w:left w:val="single" w:sz="12" w:space="0" w:color="auto"/>
            </w:tcBorders>
            <w:textDirection w:val="btLr"/>
            <w:vAlign w:val="center"/>
          </w:tcPr>
          <w:p w14:paraId="01FB773F" w14:textId="77777777" w:rsidR="00D24ECF" w:rsidRDefault="00D24ECF" w:rsidP="00D24ECF">
            <w:pPr>
              <w:ind w:left="113" w:right="113"/>
              <w:jc w:val="center"/>
            </w:pPr>
            <w:r>
              <w:t>Great Gulf</w:t>
            </w:r>
          </w:p>
        </w:tc>
        <w:tc>
          <w:tcPr>
            <w:tcW w:w="1368" w:type="dxa"/>
            <w:tcBorders>
              <w:top w:val="single" w:sz="12" w:space="0" w:color="auto"/>
            </w:tcBorders>
          </w:tcPr>
          <w:p w14:paraId="271A6BE1" w14:textId="77777777" w:rsidR="00D24ECF" w:rsidRDefault="00D24ECF" w:rsidP="00D24ECF">
            <w:pPr>
              <w:jc w:val="center"/>
            </w:pPr>
            <w:r>
              <w:t>1</w:t>
            </w:r>
          </w:p>
        </w:tc>
        <w:tc>
          <w:tcPr>
            <w:tcW w:w="1896" w:type="dxa"/>
            <w:vMerge w:val="restart"/>
            <w:tcBorders>
              <w:top w:val="single" w:sz="12" w:space="0" w:color="auto"/>
            </w:tcBorders>
            <w:shd w:val="clear" w:color="auto" w:fill="A6A6A6" w:themeFill="background1" w:themeFillShade="A6"/>
            <w:vAlign w:val="center"/>
          </w:tcPr>
          <w:p w14:paraId="3BA94EDD" w14:textId="77777777" w:rsidR="00D24ECF" w:rsidRDefault="00D24ECF" w:rsidP="00D24ECF">
            <w:r>
              <w:t xml:space="preserve">Analysis not done </w:t>
            </w:r>
          </w:p>
        </w:tc>
        <w:tc>
          <w:tcPr>
            <w:tcW w:w="2784" w:type="dxa"/>
            <w:tcBorders>
              <w:top w:val="single" w:sz="12" w:space="0" w:color="auto"/>
            </w:tcBorders>
          </w:tcPr>
          <w:p w14:paraId="694340A3" w14:textId="77777777" w:rsidR="00D24ECF" w:rsidRDefault="00D24ECF" w:rsidP="00D24ECF">
            <w:r>
              <w:t>Pennsylvania</w:t>
            </w:r>
          </w:p>
        </w:tc>
        <w:tc>
          <w:tcPr>
            <w:tcW w:w="1619" w:type="dxa"/>
            <w:tcBorders>
              <w:top w:val="single" w:sz="12" w:space="0" w:color="auto"/>
              <w:right w:val="single" w:sz="12" w:space="0" w:color="auto"/>
            </w:tcBorders>
          </w:tcPr>
          <w:p w14:paraId="54138A93" w14:textId="77777777" w:rsidR="00D24ECF" w:rsidRDefault="00D24ECF" w:rsidP="00D24ECF">
            <w:r>
              <w:t>Ohio</w:t>
            </w:r>
          </w:p>
        </w:tc>
      </w:tr>
      <w:tr w:rsidR="00D24ECF" w14:paraId="531852F0" w14:textId="77777777" w:rsidTr="00D24ECF">
        <w:tc>
          <w:tcPr>
            <w:tcW w:w="1663" w:type="dxa"/>
            <w:vMerge/>
            <w:tcBorders>
              <w:left w:val="single" w:sz="12" w:space="0" w:color="auto"/>
            </w:tcBorders>
          </w:tcPr>
          <w:p w14:paraId="0C3E5DBB" w14:textId="77777777" w:rsidR="00D24ECF" w:rsidRDefault="00D24ECF" w:rsidP="00D24ECF"/>
        </w:tc>
        <w:tc>
          <w:tcPr>
            <w:tcW w:w="1368" w:type="dxa"/>
          </w:tcPr>
          <w:p w14:paraId="4F9E8867" w14:textId="77777777" w:rsidR="00D24ECF" w:rsidRDefault="00D24ECF" w:rsidP="00D24ECF">
            <w:pPr>
              <w:jc w:val="center"/>
            </w:pPr>
            <w:r>
              <w:t>2</w:t>
            </w:r>
          </w:p>
        </w:tc>
        <w:tc>
          <w:tcPr>
            <w:tcW w:w="1896" w:type="dxa"/>
            <w:vMerge/>
            <w:shd w:val="clear" w:color="auto" w:fill="A6A6A6" w:themeFill="background1" w:themeFillShade="A6"/>
            <w:vAlign w:val="center"/>
          </w:tcPr>
          <w:p w14:paraId="0FE3BD79" w14:textId="77777777" w:rsidR="00D24ECF" w:rsidRDefault="00D24ECF" w:rsidP="00D24ECF">
            <w:pPr>
              <w:jc w:val="center"/>
            </w:pPr>
          </w:p>
        </w:tc>
        <w:tc>
          <w:tcPr>
            <w:tcW w:w="2784" w:type="dxa"/>
          </w:tcPr>
          <w:p w14:paraId="2EE88D92" w14:textId="77777777" w:rsidR="00D24ECF" w:rsidRDefault="00D24ECF" w:rsidP="00D24ECF">
            <w:r>
              <w:t>Ohio</w:t>
            </w:r>
          </w:p>
        </w:tc>
        <w:tc>
          <w:tcPr>
            <w:tcW w:w="1619" w:type="dxa"/>
            <w:tcBorders>
              <w:right w:val="single" w:sz="12" w:space="0" w:color="auto"/>
            </w:tcBorders>
          </w:tcPr>
          <w:p w14:paraId="2A8BDFE0" w14:textId="77777777" w:rsidR="00D24ECF" w:rsidRDefault="00D24ECF" w:rsidP="00D24ECF">
            <w:r>
              <w:t>Pennsylvania</w:t>
            </w:r>
          </w:p>
        </w:tc>
      </w:tr>
      <w:tr w:rsidR="00D24ECF" w14:paraId="37D44365" w14:textId="77777777" w:rsidTr="00D24ECF">
        <w:tc>
          <w:tcPr>
            <w:tcW w:w="1663" w:type="dxa"/>
            <w:vMerge/>
            <w:tcBorders>
              <w:left w:val="single" w:sz="12" w:space="0" w:color="auto"/>
            </w:tcBorders>
          </w:tcPr>
          <w:p w14:paraId="6732B4BA" w14:textId="77777777" w:rsidR="00D24ECF" w:rsidRDefault="00D24ECF" w:rsidP="00D24ECF"/>
        </w:tc>
        <w:tc>
          <w:tcPr>
            <w:tcW w:w="1368" w:type="dxa"/>
          </w:tcPr>
          <w:p w14:paraId="1F4C20DC" w14:textId="77777777" w:rsidR="00D24ECF" w:rsidRDefault="00D24ECF" w:rsidP="00D24ECF">
            <w:pPr>
              <w:jc w:val="center"/>
            </w:pPr>
            <w:r>
              <w:t>3</w:t>
            </w:r>
          </w:p>
        </w:tc>
        <w:tc>
          <w:tcPr>
            <w:tcW w:w="1896" w:type="dxa"/>
            <w:vMerge/>
            <w:shd w:val="clear" w:color="auto" w:fill="A6A6A6" w:themeFill="background1" w:themeFillShade="A6"/>
            <w:vAlign w:val="center"/>
          </w:tcPr>
          <w:p w14:paraId="469550DE" w14:textId="77777777" w:rsidR="00D24ECF" w:rsidRDefault="00D24ECF" w:rsidP="00D24ECF">
            <w:pPr>
              <w:jc w:val="center"/>
            </w:pPr>
          </w:p>
        </w:tc>
        <w:tc>
          <w:tcPr>
            <w:tcW w:w="2784" w:type="dxa"/>
          </w:tcPr>
          <w:p w14:paraId="694C3049" w14:textId="77777777" w:rsidR="00D24ECF" w:rsidRDefault="00D24ECF" w:rsidP="00D24ECF">
            <w:r>
              <w:t>Indiana</w:t>
            </w:r>
          </w:p>
        </w:tc>
        <w:tc>
          <w:tcPr>
            <w:tcW w:w="1619" w:type="dxa"/>
            <w:tcBorders>
              <w:right w:val="single" w:sz="12" w:space="0" w:color="auto"/>
            </w:tcBorders>
          </w:tcPr>
          <w:p w14:paraId="2AE53FFB" w14:textId="77777777" w:rsidR="00D24ECF" w:rsidRDefault="00D24ECF" w:rsidP="00D24ECF">
            <w:r>
              <w:t>Indiana</w:t>
            </w:r>
          </w:p>
        </w:tc>
      </w:tr>
      <w:tr w:rsidR="00D24ECF" w14:paraId="03580431" w14:textId="77777777" w:rsidTr="00D24ECF">
        <w:tc>
          <w:tcPr>
            <w:tcW w:w="1663" w:type="dxa"/>
            <w:vMerge/>
            <w:tcBorders>
              <w:left w:val="single" w:sz="12" w:space="0" w:color="auto"/>
            </w:tcBorders>
          </w:tcPr>
          <w:p w14:paraId="652A50E8" w14:textId="77777777" w:rsidR="00D24ECF" w:rsidRDefault="00D24ECF" w:rsidP="00D24ECF"/>
        </w:tc>
        <w:tc>
          <w:tcPr>
            <w:tcW w:w="1368" w:type="dxa"/>
          </w:tcPr>
          <w:p w14:paraId="236EBE9B" w14:textId="77777777" w:rsidR="00D24ECF" w:rsidRDefault="00D24ECF" w:rsidP="00D24ECF">
            <w:pPr>
              <w:jc w:val="center"/>
            </w:pPr>
            <w:r>
              <w:t>4</w:t>
            </w:r>
          </w:p>
        </w:tc>
        <w:tc>
          <w:tcPr>
            <w:tcW w:w="1896" w:type="dxa"/>
            <w:vMerge/>
            <w:shd w:val="clear" w:color="auto" w:fill="A6A6A6" w:themeFill="background1" w:themeFillShade="A6"/>
            <w:vAlign w:val="center"/>
          </w:tcPr>
          <w:p w14:paraId="6A93107B" w14:textId="77777777" w:rsidR="00D24ECF" w:rsidRDefault="00D24ECF" w:rsidP="00D24ECF">
            <w:pPr>
              <w:jc w:val="center"/>
            </w:pPr>
          </w:p>
        </w:tc>
        <w:tc>
          <w:tcPr>
            <w:tcW w:w="2784" w:type="dxa"/>
          </w:tcPr>
          <w:p w14:paraId="26EC2629" w14:textId="77777777" w:rsidR="00D24ECF" w:rsidRDefault="00D24ECF" w:rsidP="00D24ECF">
            <w:r>
              <w:t>Michigan</w:t>
            </w:r>
          </w:p>
        </w:tc>
        <w:tc>
          <w:tcPr>
            <w:tcW w:w="1619" w:type="dxa"/>
            <w:tcBorders>
              <w:right w:val="single" w:sz="12" w:space="0" w:color="auto"/>
            </w:tcBorders>
          </w:tcPr>
          <w:p w14:paraId="4C80C6D0" w14:textId="77777777" w:rsidR="00D24ECF" w:rsidRDefault="00D24ECF" w:rsidP="00D24ECF">
            <w:r>
              <w:t>Michigan</w:t>
            </w:r>
          </w:p>
        </w:tc>
      </w:tr>
      <w:tr w:rsidR="00D24ECF" w14:paraId="2FDB7FC6" w14:textId="77777777" w:rsidTr="00F65924">
        <w:trPr>
          <w:cantSplit/>
        </w:trPr>
        <w:tc>
          <w:tcPr>
            <w:tcW w:w="1663" w:type="dxa"/>
            <w:vMerge/>
            <w:tcBorders>
              <w:left w:val="single" w:sz="12" w:space="0" w:color="auto"/>
              <w:bottom w:val="single" w:sz="12" w:space="0" w:color="auto"/>
            </w:tcBorders>
          </w:tcPr>
          <w:p w14:paraId="62A56B1E" w14:textId="77777777" w:rsidR="00D24ECF" w:rsidRDefault="00D24ECF" w:rsidP="00D24ECF"/>
        </w:tc>
        <w:tc>
          <w:tcPr>
            <w:tcW w:w="1368" w:type="dxa"/>
            <w:tcBorders>
              <w:bottom w:val="single" w:sz="12" w:space="0" w:color="auto"/>
            </w:tcBorders>
          </w:tcPr>
          <w:p w14:paraId="7F0B5B40" w14:textId="77777777" w:rsidR="00D24ECF" w:rsidRDefault="00D24ECF" w:rsidP="00D24ECF">
            <w:pPr>
              <w:jc w:val="center"/>
            </w:pPr>
            <w:r>
              <w:t>5</w:t>
            </w:r>
          </w:p>
        </w:tc>
        <w:tc>
          <w:tcPr>
            <w:tcW w:w="1896" w:type="dxa"/>
            <w:vMerge/>
            <w:tcBorders>
              <w:bottom w:val="single" w:sz="12" w:space="0" w:color="auto"/>
            </w:tcBorders>
            <w:shd w:val="clear" w:color="auto" w:fill="A6A6A6" w:themeFill="background1" w:themeFillShade="A6"/>
            <w:vAlign w:val="center"/>
          </w:tcPr>
          <w:p w14:paraId="71B8A207" w14:textId="77777777" w:rsidR="00D24ECF" w:rsidRDefault="00D24ECF" w:rsidP="00D24ECF">
            <w:pPr>
              <w:jc w:val="center"/>
            </w:pPr>
          </w:p>
        </w:tc>
        <w:tc>
          <w:tcPr>
            <w:tcW w:w="2784" w:type="dxa"/>
            <w:tcBorders>
              <w:bottom w:val="single" w:sz="12" w:space="0" w:color="auto"/>
            </w:tcBorders>
          </w:tcPr>
          <w:p w14:paraId="532CE971" w14:textId="6A1B91DF" w:rsidR="00D24ECF" w:rsidRDefault="00D24ECF" w:rsidP="00A851F4">
            <w:r>
              <w:t>New York</w:t>
            </w:r>
          </w:p>
        </w:tc>
        <w:tc>
          <w:tcPr>
            <w:tcW w:w="1619" w:type="dxa"/>
            <w:tcBorders>
              <w:bottom w:val="single" w:sz="12" w:space="0" w:color="auto"/>
              <w:right w:val="single" w:sz="12" w:space="0" w:color="auto"/>
            </w:tcBorders>
          </w:tcPr>
          <w:p w14:paraId="7D047A79" w14:textId="77777777" w:rsidR="00D24ECF" w:rsidRDefault="00D24ECF" w:rsidP="00D24ECF">
            <w:r>
              <w:t>Illinois</w:t>
            </w:r>
          </w:p>
        </w:tc>
      </w:tr>
      <w:tr w:rsidR="00D24ECF" w14:paraId="14DECC33" w14:textId="77777777" w:rsidTr="00D24ECF">
        <w:tc>
          <w:tcPr>
            <w:tcW w:w="1663" w:type="dxa"/>
            <w:vMerge w:val="restart"/>
            <w:tcBorders>
              <w:top w:val="single" w:sz="12" w:space="0" w:color="auto"/>
              <w:left w:val="single" w:sz="12" w:space="0" w:color="auto"/>
            </w:tcBorders>
            <w:textDirection w:val="btLr"/>
            <w:vAlign w:val="center"/>
          </w:tcPr>
          <w:p w14:paraId="12C1A6AC" w14:textId="77777777" w:rsidR="00D24ECF" w:rsidRDefault="00D24ECF" w:rsidP="00D24ECF">
            <w:pPr>
              <w:ind w:left="113" w:right="113"/>
              <w:jc w:val="center"/>
            </w:pPr>
            <w:r>
              <w:t>James River Face</w:t>
            </w:r>
          </w:p>
        </w:tc>
        <w:tc>
          <w:tcPr>
            <w:tcW w:w="1368" w:type="dxa"/>
            <w:tcBorders>
              <w:top w:val="single" w:sz="12" w:space="0" w:color="auto"/>
            </w:tcBorders>
          </w:tcPr>
          <w:p w14:paraId="2A23E2DC" w14:textId="77777777" w:rsidR="00D24ECF" w:rsidRDefault="00D24ECF" w:rsidP="00D24ECF">
            <w:pPr>
              <w:jc w:val="center"/>
            </w:pPr>
            <w:r>
              <w:t>1</w:t>
            </w:r>
          </w:p>
        </w:tc>
        <w:tc>
          <w:tcPr>
            <w:tcW w:w="4680" w:type="dxa"/>
            <w:gridSpan w:val="2"/>
            <w:vMerge w:val="restart"/>
            <w:tcBorders>
              <w:top w:val="single" w:sz="12" w:space="0" w:color="auto"/>
            </w:tcBorders>
            <w:shd w:val="clear" w:color="auto" w:fill="A6A6A6" w:themeFill="background1" w:themeFillShade="A6"/>
            <w:vAlign w:val="center"/>
          </w:tcPr>
          <w:p w14:paraId="3DC2EB9D" w14:textId="77777777" w:rsidR="00D24ECF" w:rsidRDefault="00D24ECF" w:rsidP="00D24ECF">
            <w:pPr>
              <w:jc w:val="center"/>
            </w:pPr>
            <w:r>
              <w:t>New to analysis not available for earlier years</w:t>
            </w:r>
          </w:p>
        </w:tc>
        <w:tc>
          <w:tcPr>
            <w:tcW w:w="1619" w:type="dxa"/>
            <w:tcBorders>
              <w:top w:val="single" w:sz="12" w:space="0" w:color="auto"/>
              <w:right w:val="single" w:sz="12" w:space="0" w:color="auto"/>
            </w:tcBorders>
          </w:tcPr>
          <w:p w14:paraId="79D5A9C4" w14:textId="77777777" w:rsidR="00D24ECF" w:rsidRDefault="00D24ECF" w:rsidP="00D24ECF">
            <w:r>
              <w:t>Ohio</w:t>
            </w:r>
          </w:p>
        </w:tc>
      </w:tr>
      <w:tr w:rsidR="00D24ECF" w14:paraId="1EB02EED" w14:textId="77777777" w:rsidTr="00D24ECF">
        <w:tc>
          <w:tcPr>
            <w:tcW w:w="1663" w:type="dxa"/>
            <w:vMerge/>
            <w:tcBorders>
              <w:left w:val="single" w:sz="12" w:space="0" w:color="auto"/>
            </w:tcBorders>
          </w:tcPr>
          <w:p w14:paraId="424C8E14" w14:textId="77777777" w:rsidR="00D24ECF" w:rsidRDefault="00D24ECF" w:rsidP="00D24ECF"/>
        </w:tc>
        <w:tc>
          <w:tcPr>
            <w:tcW w:w="1368" w:type="dxa"/>
          </w:tcPr>
          <w:p w14:paraId="0DF36F08" w14:textId="77777777" w:rsidR="00D24ECF" w:rsidRDefault="00D24ECF" w:rsidP="00D24ECF">
            <w:pPr>
              <w:jc w:val="center"/>
            </w:pPr>
            <w:r>
              <w:t>2</w:t>
            </w:r>
          </w:p>
        </w:tc>
        <w:tc>
          <w:tcPr>
            <w:tcW w:w="4680" w:type="dxa"/>
            <w:gridSpan w:val="2"/>
            <w:vMerge/>
            <w:shd w:val="clear" w:color="auto" w:fill="A6A6A6" w:themeFill="background1" w:themeFillShade="A6"/>
          </w:tcPr>
          <w:p w14:paraId="4EF7509C" w14:textId="77777777" w:rsidR="00D24ECF" w:rsidRDefault="00D24ECF" w:rsidP="00D24ECF"/>
        </w:tc>
        <w:tc>
          <w:tcPr>
            <w:tcW w:w="1619" w:type="dxa"/>
            <w:tcBorders>
              <w:right w:val="single" w:sz="12" w:space="0" w:color="auto"/>
            </w:tcBorders>
          </w:tcPr>
          <w:p w14:paraId="00DC4E30" w14:textId="77777777" w:rsidR="00D24ECF" w:rsidRDefault="00D24ECF" w:rsidP="00D24ECF">
            <w:r>
              <w:t>Pennsylvania</w:t>
            </w:r>
          </w:p>
        </w:tc>
      </w:tr>
      <w:tr w:rsidR="00D24ECF" w14:paraId="584DD2AD" w14:textId="77777777" w:rsidTr="00D24ECF">
        <w:tc>
          <w:tcPr>
            <w:tcW w:w="1663" w:type="dxa"/>
            <w:vMerge/>
            <w:tcBorders>
              <w:left w:val="single" w:sz="12" w:space="0" w:color="auto"/>
            </w:tcBorders>
          </w:tcPr>
          <w:p w14:paraId="6805095F" w14:textId="77777777" w:rsidR="00D24ECF" w:rsidRDefault="00D24ECF" w:rsidP="00D24ECF"/>
        </w:tc>
        <w:tc>
          <w:tcPr>
            <w:tcW w:w="1368" w:type="dxa"/>
          </w:tcPr>
          <w:p w14:paraId="24456D99" w14:textId="77777777" w:rsidR="00D24ECF" w:rsidRDefault="00D24ECF" w:rsidP="00D24ECF">
            <w:pPr>
              <w:jc w:val="center"/>
            </w:pPr>
            <w:r>
              <w:t>3</w:t>
            </w:r>
          </w:p>
        </w:tc>
        <w:tc>
          <w:tcPr>
            <w:tcW w:w="4680" w:type="dxa"/>
            <w:gridSpan w:val="2"/>
            <w:vMerge/>
            <w:shd w:val="clear" w:color="auto" w:fill="A6A6A6" w:themeFill="background1" w:themeFillShade="A6"/>
          </w:tcPr>
          <w:p w14:paraId="168A4DEB" w14:textId="77777777" w:rsidR="00D24ECF" w:rsidRDefault="00D24ECF" w:rsidP="00D24ECF"/>
        </w:tc>
        <w:tc>
          <w:tcPr>
            <w:tcW w:w="1619" w:type="dxa"/>
            <w:tcBorders>
              <w:right w:val="single" w:sz="12" w:space="0" w:color="auto"/>
            </w:tcBorders>
          </w:tcPr>
          <w:p w14:paraId="52DBE0D9" w14:textId="77777777" w:rsidR="00D24ECF" w:rsidRDefault="00D24ECF" w:rsidP="00D24ECF">
            <w:r>
              <w:t>Indiana</w:t>
            </w:r>
          </w:p>
        </w:tc>
      </w:tr>
      <w:tr w:rsidR="00D24ECF" w14:paraId="7CEB9268" w14:textId="77777777" w:rsidTr="00D24ECF">
        <w:tc>
          <w:tcPr>
            <w:tcW w:w="1663" w:type="dxa"/>
            <w:vMerge/>
            <w:tcBorders>
              <w:left w:val="single" w:sz="12" w:space="0" w:color="auto"/>
            </w:tcBorders>
          </w:tcPr>
          <w:p w14:paraId="3C981BA0" w14:textId="77777777" w:rsidR="00D24ECF" w:rsidRDefault="00D24ECF" w:rsidP="00D24ECF"/>
        </w:tc>
        <w:tc>
          <w:tcPr>
            <w:tcW w:w="1368" w:type="dxa"/>
          </w:tcPr>
          <w:p w14:paraId="3268AEBB" w14:textId="77777777" w:rsidR="00D24ECF" w:rsidRDefault="00D24ECF" w:rsidP="00D24ECF">
            <w:pPr>
              <w:jc w:val="center"/>
            </w:pPr>
            <w:r>
              <w:t>4</w:t>
            </w:r>
          </w:p>
        </w:tc>
        <w:tc>
          <w:tcPr>
            <w:tcW w:w="4680" w:type="dxa"/>
            <w:gridSpan w:val="2"/>
            <w:vMerge/>
            <w:shd w:val="clear" w:color="auto" w:fill="A6A6A6" w:themeFill="background1" w:themeFillShade="A6"/>
          </w:tcPr>
          <w:p w14:paraId="7503FB18" w14:textId="77777777" w:rsidR="00D24ECF" w:rsidRDefault="00D24ECF" w:rsidP="00D24ECF"/>
        </w:tc>
        <w:tc>
          <w:tcPr>
            <w:tcW w:w="1619" w:type="dxa"/>
            <w:tcBorders>
              <w:right w:val="single" w:sz="12" w:space="0" w:color="auto"/>
            </w:tcBorders>
          </w:tcPr>
          <w:p w14:paraId="34C4CCA4" w14:textId="77777777" w:rsidR="00D24ECF" w:rsidRDefault="00D24ECF" w:rsidP="00D24ECF">
            <w:r>
              <w:t>Kentucky</w:t>
            </w:r>
          </w:p>
        </w:tc>
      </w:tr>
      <w:tr w:rsidR="00D24ECF" w14:paraId="72DD2821" w14:textId="77777777" w:rsidTr="00D24ECF">
        <w:tc>
          <w:tcPr>
            <w:tcW w:w="1663" w:type="dxa"/>
            <w:vMerge/>
            <w:tcBorders>
              <w:left w:val="single" w:sz="12" w:space="0" w:color="auto"/>
              <w:bottom w:val="single" w:sz="12" w:space="0" w:color="auto"/>
            </w:tcBorders>
          </w:tcPr>
          <w:p w14:paraId="745C9005" w14:textId="77777777" w:rsidR="00D24ECF" w:rsidRDefault="00D24ECF" w:rsidP="00D24ECF"/>
        </w:tc>
        <w:tc>
          <w:tcPr>
            <w:tcW w:w="1368" w:type="dxa"/>
            <w:tcBorders>
              <w:bottom w:val="single" w:sz="12" w:space="0" w:color="auto"/>
            </w:tcBorders>
          </w:tcPr>
          <w:p w14:paraId="1E0E13EB" w14:textId="77777777" w:rsidR="00D24ECF" w:rsidRDefault="00D24ECF" w:rsidP="00D24ECF">
            <w:pPr>
              <w:jc w:val="center"/>
            </w:pPr>
            <w:r>
              <w:t>5</w:t>
            </w:r>
          </w:p>
        </w:tc>
        <w:tc>
          <w:tcPr>
            <w:tcW w:w="4680" w:type="dxa"/>
            <w:gridSpan w:val="2"/>
            <w:vMerge/>
            <w:tcBorders>
              <w:bottom w:val="single" w:sz="12" w:space="0" w:color="auto"/>
            </w:tcBorders>
            <w:shd w:val="clear" w:color="auto" w:fill="A6A6A6" w:themeFill="background1" w:themeFillShade="A6"/>
          </w:tcPr>
          <w:p w14:paraId="1D1EDAD7" w14:textId="77777777" w:rsidR="00D24ECF" w:rsidRDefault="00D24ECF" w:rsidP="00D24ECF"/>
        </w:tc>
        <w:tc>
          <w:tcPr>
            <w:tcW w:w="1619" w:type="dxa"/>
            <w:tcBorders>
              <w:bottom w:val="single" w:sz="12" w:space="0" w:color="auto"/>
              <w:right w:val="single" w:sz="12" w:space="0" w:color="auto"/>
            </w:tcBorders>
          </w:tcPr>
          <w:p w14:paraId="43BE33FC" w14:textId="77777777" w:rsidR="00D24ECF" w:rsidRDefault="00D24ECF" w:rsidP="00D24ECF">
            <w:r>
              <w:t>West Virginia</w:t>
            </w:r>
          </w:p>
        </w:tc>
      </w:tr>
      <w:tr w:rsidR="00D24ECF" w14:paraId="66788DA2" w14:textId="77777777" w:rsidTr="00D24ECF">
        <w:tc>
          <w:tcPr>
            <w:tcW w:w="1663" w:type="dxa"/>
            <w:vMerge w:val="restart"/>
            <w:tcBorders>
              <w:top w:val="single" w:sz="12" w:space="0" w:color="auto"/>
              <w:left w:val="single" w:sz="12" w:space="0" w:color="auto"/>
            </w:tcBorders>
            <w:textDirection w:val="btLr"/>
            <w:vAlign w:val="center"/>
          </w:tcPr>
          <w:p w14:paraId="2959752C" w14:textId="77777777" w:rsidR="00D24ECF" w:rsidRDefault="00D24ECF" w:rsidP="00D24ECF">
            <w:pPr>
              <w:ind w:left="113" w:right="113"/>
              <w:jc w:val="center"/>
            </w:pPr>
            <w:r>
              <w:t>Lye Brook</w:t>
            </w:r>
          </w:p>
        </w:tc>
        <w:tc>
          <w:tcPr>
            <w:tcW w:w="1368" w:type="dxa"/>
            <w:tcBorders>
              <w:top w:val="single" w:sz="12" w:space="0" w:color="auto"/>
            </w:tcBorders>
          </w:tcPr>
          <w:p w14:paraId="67F0E423" w14:textId="77777777" w:rsidR="00D24ECF" w:rsidRDefault="00D24ECF" w:rsidP="00D24ECF">
            <w:pPr>
              <w:jc w:val="center"/>
            </w:pPr>
            <w:r>
              <w:t>1</w:t>
            </w:r>
          </w:p>
        </w:tc>
        <w:tc>
          <w:tcPr>
            <w:tcW w:w="1896" w:type="dxa"/>
            <w:tcBorders>
              <w:top w:val="single" w:sz="12" w:space="0" w:color="auto"/>
            </w:tcBorders>
          </w:tcPr>
          <w:p w14:paraId="1F6CF3AD" w14:textId="77777777" w:rsidR="00D24ECF" w:rsidRDefault="00D24ECF" w:rsidP="00D24ECF">
            <w:r>
              <w:t>Pennsylvania</w:t>
            </w:r>
          </w:p>
        </w:tc>
        <w:tc>
          <w:tcPr>
            <w:tcW w:w="2784" w:type="dxa"/>
            <w:tcBorders>
              <w:top w:val="single" w:sz="12" w:space="0" w:color="auto"/>
            </w:tcBorders>
          </w:tcPr>
          <w:p w14:paraId="31CCE8F9" w14:textId="77777777" w:rsidR="00D24ECF" w:rsidRDefault="00D24ECF" w:rsidP="00D24ECF">
            <w:r>
              <w:t>Pennsylvania</w:t>
            </w:r>
          </w:p>
        </w:tc>
        <w:tc>
          <w:tcPr>
            <w:tcW w:w="1619" w:type="dxa"/>
            <w:tcBorders>
              <w:top w:val="single" w:sz="12" w:space="0" w:color="auto"/>
              <w:right w:val="single" w:sz="12" w:space="0" w:color="auto"/>
            </w:tcBorders>
          </w:tcPr>
          <w:p w14:paraId="1D1269FB" w14:textId="77777777" w:rsidR="00D24ECF" w:rsidRDefault="00D24ECF" w:rsidP="00D24ECF">
            <w:r>
              <w:t>Pennsylvania</w:t>
            </w:r>
          </w:p>
        </w:tc>
      </w:tr>
      <w:tr w:rsidR="00D24ECF" w14:paraId="33EFE70C" w14:textId="77777777" w:rsidTr="00D24ECF">
        <w:tc>
          <w:tcPr>
            <w:tcW w:w="1663" w:type="dxa"/>
            <w:vMerge/>
            <w:tcBorders>
              <w:left w:val="single" w:sz="12" w:space="0" w:color="auto"/>
            </w:tcBorders>
          </w:tcPr>
          <w:p w14:paraId="39DE7CAF" w14:textId="77777777" w:rsidR="00D24ECF" w:rsidRDefault="00D24ECF" w:rsidP="00D24ECF"/>
        </w:tc>
        <w:tc>
          <w:tcPr>
            <w:tcW w:w="1368" w:type="dxa"/>
          </w:tcPr>
          <w:p w14:paraId="27621094" w14:textId="77777777" w:rsidR="00D24ECF" w:rsidRDefault="00D24ECF" w:rsidP="00D24ECF">
            <w:pPr>
              <w:jc w:val="center"/>
            </w:pPr>
            <w:r>
              <w:t>2</w:t>
            </w:r>
          </w:p>
        </w:tc>
        <w:tc>
          <w:tcPr>
            <w:tcW w:w="1896" w:type="dxa"/>
          </w:tcPr>
          <w:p w14:paraId="7822D0C8" w14:textId="77777777" w:rsidR="00D24ECF" w:rsidRDefault="00D24ECF" w:rsidP="00D24ECF">
            <w:r>
              <w:t>Ohio</w:t>
            </w:r>
          </w:p>
        </w:tc>
        <w:tc>
          <w:tcPr>
            <w:tcW w:w="2784" w:type="dxa"/>
          </w:tcPr>
          <w:p w14:paraId="6AB092BF" w14:textId="77777777" w:rsidR="00D24ECF" w:rsidRDefault="00D24ECF" w:rsidP="00D24ECF">
            <w:r>
              <w:t>Ohio</w:t>
            </w:r>
          </w:p>
        </w:tc>
        <w:tc>
          <w:tcPr>
            <w:tcW w:w="1619" w:type="dxa"/>
            <w:tcBorders>
              <w:right w:val="single" w:sz="12" w:space="0" w:color="auto"/>
            </w:tcBorders>
          </w:tcPr>
          <w:p w14:paraId="12FAA09A" w14:textId="77777777" w:rsidR="00D24ECF" w:rsidRDefault="00D24ECF" w:rsidP="00D24ECF">
            <w:r>
              <w:t>Ohio</w:t>
            </w:r>
          </w:p>
        </w:tc>
      </w:tr>
      <w:tr w:rsidR="00D24ECF" w14:paraId="0DFCA106" w14:textId="77777777" w:rsidTr="00D24ECF">
        <w:tc>
          <w:tcPr>
            <w:tcW w:w="1663" w:type="dxa"/>
            <w:vMerge/>
            <w:tcBorders>
              <w:left w:val="single" w:sz="12" w:space="0" w:color="auto"/>
            </w:tcBorders>
          </w:tcPr>
          <w:p w14:paraId="157F8C8E" w14:textId="77777777" w:rsidR="00D24ECF" w:rsidRDefault="00D24ECF" w:rsidP="00D24ECF"/>
        </w:tc>
        <w:tc>
          <w:tcPr>
            <w:tcW w:w="1368" w:type="dxa"/>
          </w:tcPr>
          <w:p w14:paraId="593FEB37" w14:textId="77777777" w:rsidR="00D24ECF" w:rsidRDefault="00D24ECF" w:rsidP="00D24ECF">
            <w:pPr>
              <w:jc w:val="center"/>
            </w:pPr>
            <w:r>
              <w:t>3</w:t>
            </w:r>
          </w:p>
        </w:tc>
        <w:tc>
          <w:tcPr>
            <w:tcW w:w="1896" w:type="dxa"/>
          </w:tcPr>
          <w:p w14:paraId="042F8FB3" w14:textId="77777777" w:rsidR="00D24ECF" w:rsidRDefault="00D24ECF" w:rsidP="00D24ECF">
            <w:r>
              <w:t>New York</w:t>
            </w:r>
          </w:p>
        </w:tc>
        <w:tc>
          <w:tcPr>
            <w:tcW w:w="2784" w:type="dxa"/>
          </w:tcPr>
          <w:p w14:paraId="2FA87D07" w14:textId="2924213B" w:rsidR="00D24ECF" w:rsidRDefault="00D24ECF" w:rsidP="00A851F4">
            <w:r>
              <w:t>New York</w:t>
            </w:r>
          </w:p>
        </w:tc>
        <w:tc>
          <w:tcPr>
            <w:tcW w:w="1619" w:type="dxa"/>
            <w:tcBorders>
              <w:right w:val="single" w:sz="12" w:space="0" w:color="auto"/>
            </w:tcBorders>
          </w:tcPr>
          <w:p w14:paraId="6DD13574" w14:textId="77777777" w:rsidR="00D24ECF" w:rsidRDefault="00D24ECF" w:rsidP="00D24ECF">
            <w:r>
              <w:t>Indiana</w:t>
            </w:r>
          </w:p>
        </w:tc>
      </w:tr>
      <w:tr w:rsidR="00D24ECF" w14:paraId="636B370D" w14:textId="77777777" w:rsidTr="00D24ECF">
        <w:tc>
          <w:tcPr>
            <w:tcW w:w="1663" w:type="dxa"/>
            <w:vMerge/>
            <w:tcBorders>
              <w:left w:val="single" w:sz="12" w:space="0" w:color="auto"/>
            </w:tcBorders>
          </w:tcPr>
          <w:p w14:paraId="2FBA1CA7" w14:textId="77777777" w:rsidR="00D24ECF" w:rsidRDefault="00D24ECF" w:rsidP="00D24ECF"/>
        </w:tc>
        <w:tc>
          <w:tcPr>
            <w:tcW w:w="1368" w:type="dxa"/>
          </w:tcPr>
          <w:p w14:paraId="11E9F25C" w14:textId="77777777" w:rsidR="00D24ECF" w:rsidRDefault="00D24ECF" w:rsidP="00D24ECF">
            <w:pPr>
              <w:jc w:val="center"/>
            </w:pPr>
            <w:r>
              <w:t>4</w:t>
            </w:r>
          </w:p>
        </w:tc>
        <w:tc>
          <w:tcPr>
            <w:tcW w:w="1896" w:type="dxa"/>
          </w:tcPr>
          <w:p w14:paraId="57037608" w14:textId="77777777" w:rsidR="00D24ECF" w:rsidRDefault="00D24ECF" w:rsidP="00D24ECF">
            <w:r>
              <w:t>Indiana</w:t>
            </w:r>
          </w:p>
        </w:tc>
        <w:tc>
          <w:tcPr>
            <w:tcW w:w="2784" w:type="dxa"/>
          </w:tcPr>
          <w:p w14:paraId="3AD3FD1A" w14:textId="77777777" w:rsidR="00D24ECF" w:rsidRDefault="00D24ECF" w:rsidP="00D24ECF">
            <w:r>
              <w:t>Indiana</w:t>
            </w:r>
          </w:p>
        </w:tc>
        <w:tc>
          <w:tcPr>
            <w:tcW w:w="1619" w:type="dxa"/>
            <w:tcBorders>
              <w:right w:val="single" w:sz="12" w:space="0" w:color="auto"/>
            </w:tcBorders>
          </w:tcPr>
          <w:p w14:paraId="71A1B35F" w14:textId="77777777" w:rsidR="00D24ECF" w:rsidRDefault="00D24ECF" w:rsidP="00D24ECF">
            <w:r>
              <w:t>New York</w:t>
            </w:r>
          </w:p>
        </w:tc>
      </w:tr>
      <w:tr w:rsidR="00D24ECF" w14:paraId="5A7E00D3" w14:textId="77777777" w:rsidTr="00D24ECF">
        <w:tc>
          <w:tcPr>
            <w:tcW w:w="1663" w:type="dxa"/>
            <w:vMerge/>
            <w:tcBorders>
              <w:left w:val="single" w:sz="12" w:space="0" w:color="auto"/>
              <w:bottom w:val="single" w:sz="12" w:space="0" w:color="auto"/>
            </w:tcBorders>
          </w:tcPr>
          <w:p w14:paraId="232BCB29" w14:textId="77777777" w:rsidR="00D24ECF" w:rsidRDefault="00D24ECF" w:rsidP="00D24ECF"/>
        </w:tc>
        <w:tc>
          <w:tcPr>
            <w:tcW w:w="1368" w:type="dxa"/>
            <w:tcBorders>
              <w:bottom w:val="single" w:sz="12" w:space="0" w:color="auto"/>
            </w:tcBorders>
          </w:tcPr>
          <w:p w14:paraId="621DAAC6" w14:textId="77777777" w:rsidR="00D24ECF" w:rsidRDefault="00D24ECF" w:rsidP="00D24ECF">
            <w:pPr>
              <w:jc w:val="center"/>
            </w:pPr>
            <w:r>
              <w:t>5</w:t>
            </w:r>
          </w:p>
        </w:tc>
        <w:tc>
          <w:tcPr>
            <w:tcW w:w="1896" w:type="dxa"/>
            <w:tcBorders>
              <w:bottom w:val="single" w:sz="12" w:space="0" w:color="auto"/>
            </w:tcBorders>
          </w:tcPr>
          <w:p w14:paraId="272D67B1" w14:textId="77777777" w:rsidR="00D24ECF" w:rsidRDefault="00D24ECF" w:rsidP="00D24ECF">
            <w:r>
              <w:t>West Virginia</w:t>
            </w:r>
          </w:p>
        </w:tc>
        <w:tc>
          <w:tcPr>
            <w:tcW w:w="2784" w:type="dxa"/>
            <w:tcBorders>
              <w:bottom w:val="single" w:sz="12" w:space="0" w:color="auto"/>
            </w:tcBorders>
          </w:tcPr>
          <w:p w14:paraId="13EFAB26" w14:textId="77777777" w:rsidR="00D24ECF" w:rsidRDefault="00D24ECF" w:rsidP="00D24ECF">
            <w:r>
              <w:t>Michigan/West Virginia</w:t>
            </w:r>
          </w:p>
        </w:tc>
        <w:tc>
          <w:tcPr>
            <w:tcW w:w="1619" w:type="dxa"/>
            <w:tcBorders>
              <w:bottom w:val="single" w:sz="12" w:space="0" w:color="auto"/>
              <w:right w:val="single" w:sz="12" w:space="0" w:color="auto"/>
            </w:tcBorders>
          </w:tcPr>
          <w:p w14:paraId="6C858CF8" w14:textId="77777777" w:rsidR="00D24ECF" w:rsidRDefault="00D24ECF" w:rsidP="00D24ECF">
            <w:r>
              <w:t>Michigan</w:t>
            </w:r>
          </w:p>
        </w:tc>
      </w:tr>
      <w:tr w:rsidR="00A851F4" w14:paraId="349D2035" w14:textId="77777777" w:rsidTr="00D24ECF">
        <w:tc>
          <w:tcPr>
            <w:tcW w:w="1663" w:type="dxa"/>
            <w:vMerge w:val="restart"/>
            <w:tcBorders>
              <w:top w:val="single" w:sz="12" w:space="0" w:color="auto"/>
              <w:left w:val="single" w:sz="12" w:space="0" w:color="auto"/>
            </w:tcBorders>
            <w:textDirection w:val="btLr"/>
            <w:vAlign w:val="center"/>
          </w:tcPr>
          <w:p w14:paraId="2EF28CE0" w14:textId="77777777" w:rsidR="00A851F4" w:rsidRDefault="00A851F4" w:rsidP="00D24ECF">
            <w:pPr>
              <w:jc w:val="center"/>
            </w:pPr>
            <w:r>
              <w:t>Moosehorn</w:t>
            </w:r>
          </w:p>
        </w:tc>
        <w:tc>
          <w:tcPr>
            <w:tcW w:w="1368" w:type="dxa"/>
            <w:tcBorders>
              <w:top w:val="single" w:sz="12" w:space="0" w:color="auto"/>
            </w:tcBorders>
            <w:vAlign w:val="center"/>
          </w:tcPr>
          <w:p w14:paraId="2A132845" w14:textId="77777777" w:rsidR="00A851F4" w:rsidRDefault="00A851F4" w:rsidP="00D24ECF">
            <w:pPr>
              <w:jc w:val="center"/>
            </w:pPr>
            <w:r>
              <w:t>1</w:t>
            </w:r>
          </w:p>
        </w:tc>
        <w:tc>
          <w:tcPr>
            <w:tcW w:w="1896" w:type="dxa"/>
            <w:vMerge w:val="restart"/>
            <w:tcBorders>
              <w:top w:val="single" w:sz="12" w:space="0" w:color="auto"/>
            </w:tcBorders>
          </w:tcPr>
          <w:p w14:paraId="3BFCB011" w14:textId="0FACE700" w:rsidR="00A851F4" w:rsidRDefault="00A851F4" w:rsidP="00D24ECF">
            <w:r>
              <w:t>Pennsylvania/ Ohio</w:t>
            </w:r>
          </w:p>
        </w:tc>
        <w:tc>
          <w:tcPr>
            <w:tcW w:w="2784" w:type="dxa"/>
            <w:tcBorders>
              <w:top w:val="single" w:sz="12" w:space="0" w:color="auto"/>
            </w:tcBorders>
          </w:tcPr>
          <w:p w14:paraId="67FB3D36" w14:textId="77777777" w:rsidR="00A851F4" w:rsidRDefault="00A851F4" w:rsidP="00D24ECF">
            <w:r>
              <w:t>Pennsylvania</w:t>
            </w:r>
          </w:p>
        </w:tc>
        <w:tc>
          <w:tcPr>
            <w:tcW w:w="1619" w:type="dxa"/>
            <w:tcBorders>
              <w:top w:val="single" w:sz="12" w:space="0" w:color="auto"/>
              <w:right w:val="single" w:sz="12" w:space="0" w:color="auto"/>
            </w:tcBorders>
          </w:tcPr>
          <w:p w14:paraId="2C6833EF" w14:textId="77777777" w:rsidR="00A851F4" w:rsidRDefault="00A851F4" w:rsidP="00D24ECF">
            <w:r>
              <w:t>Ohio</w:t>
            </w:r>
          </w:p>
        </w:tc>
      </w:tr>
      <w:tr w:rsidR="00A851F4" w14:paraId="46F61DDC" w14:textId="77777777" w:rsidTr="00D24ECF">
        <w:tc>
          <w:tcPr>
            <w:tcW w:w="1663" w:type="dxa"/>
            <w:vMerge/>
            <w:tcBorders>
              <w:left w:val="single" w:sz="12" w:space="0" w:color="auto"/>
            </w:tcBorders>
          </w:tcPr>
          <w:p w14:paraId="0AE95691" w14:textId="77777777" w:rsidR="00A851F4" w:rsidRDefault="00A851F4" w:rsidP="00D24ECF"/>
        </w:tc>
        <w:tc>
          <w:tcPr>
            <w:tcW w:w="1368" w:type="dxa"/>
            <w:vAlign w:val="center"/>
          </w:tcPr>
          <w:p w14:paraId="34AAACD4" w14:textId="77777777" w:rsidR="00A851F4" w:rsidRDefault="00A851F4" w:rsidP="00D24ECF">
            <w:pPr>
              <w:jc w:val="center"/>
            </w:pPr>
            <w:r>
              <w:t>2</w:t>
            </w:r>
          </w:p>
        </w:tc>
        <w:tc>
          <w:tcPr>
            <w:tcW w:w="1896" w:type="dxa"/>
            <w:vMerge/>
          </w:tcPr>
          <w:p w14:paraId="12B504AE" w14:textId="18DDE8F9" w:rsidR="00A851F4" w:rsidRDefault="00A851F4" w:rsidP="00D24ECF"/>
        </w:tc>
        <w:tc>
          <w:tcPr>
            <w:tcW w:w="2784" w:type="dxa"/>
          </w:tcPr>
          <w:p w14:paraId="45813B83" w14:textId="77777777" w:rsidR="00A851F4" w:rsidRDefault="00A851F4" w:rsidP="00D24ECF">
            <w:r>
              <w:t>Ohio</w:t>
            </w:r>
          </w:p>
        </w:tc>
        <w:tc>
          <w:tcPr>
            <w:tcW w:w="1619" w:type="dxa"/>
            <w:tcBorders>
              <w:right w:val="single" w:sz="12" w:space="0" w:color="auto"/>
            </w:tcBorders>
          </w:tcPr>
          <w:p w14:paraId="09D4E231" w14:textId="77777777" w:rsidR="00A851F4" w:rsidRDefault="00A851F4" w:rsidP="00D24ECF">
            <w:r>
              <w:t>Indiana</w:t>
            </w:r>
          </w:p>
        </w:tc>
      </w:tr>
      <w:tr w:rsidR="00A851F4" w14:paraId="779BAD5E" w14:textId="77777777" w:rsidTr="00D24ECF">
        <w:tc>
          <w:tcPr>
            <w:tcW w:w="1663" w:type="dxa"/>
            <w:vMerge/>
            <w:tcBorders>
              <w:left w:val="single" w:sz="12" w:space="0" w:color="auto"/>
            </w:tcBorders>
          </w:tcPr>
          <w:p w14:paraId="6AE45344" w14:textId="77777777" w:rsidR="00A851F4" w:rsidRDefault="00A851F4" w:rsidP="00D24ECF"/>
        </w:tc>
        <w:tc>
          <w:tcPr>
            <w:tcW w:w="1368" w:type="dxa"/>
            <w:vAlign w:val="center"/>
          </w:tcPr>
          <w:p w14:paraId="545B4972" w14:textId="77777777" w:rsidR="00A851F4" w:rsidRDefault="00A851F4" w:rsidP="00D24ECF">
            <w:pPr>
              <w:jc w:val="center"/>
            </w:pPr>
            <w:r>
              <w:t>3</w:t>
            </w:r>
          </w:p>
        </w:tc>
        <w:tc>
          <w:tcPr>
            <w:tcW w:w="1896" w:type="dxa"/>
            <w:vMerge w:val="restart"/>
          </w:tcPr>
          <w:p w14:paraId="4D1D6A10" w14:textId="77777777" w:rsidR="00A851F4" w:rsidRDefault="00A851F4" w:rsidP="00D24ECF">
            <w:r>
              <w:t>Indianan/New York</w:t>
            </w:r>
          </w:p>
        </w:tc>
        <w:tc>
          <w:tcPr>
            <w:tcW w:w="2784" w:type="dxa"/>
          </w:tcPr>
          <w:p w14:paraId="7C7AC4DF" w14:textId="77777777" w:rsidR="00A851F4" w:rsidRDefault="00A851F4" w:rsidP="00D24ECF">
            <w:r>
              <w:t>Indiana</w:t>
            </w:r>
          </w:p>
        </w:tc>
        <w:tc>
          <w:tcPr>
            <w:tcW w:w="1619" w:type="dxa"/>
            <w:tcBorders>
              <w:right w:val="single" w:sz="12" w:space="0" w:color="auto"/>
            </w:tcBorders>
          </w:tcPr>
          <w:p w14:paraId="0CDF8FC8" w14:textId="77777777" w:rsidR="00A851F4" w:rsidRDefault="00A851F4" w:rsidP="00D24ECF">
            <w:r>
              <w:t>Illinois</w:t>
            </w:r>
          </w:p>
        </w:tc>
      </w:tr>
      <w:tr w:rsidR="00A851F4" w14:paraId="6964AFDB" w14:textId="77777777" w:rsidTr="00D24ECF">
        <w:tc>
          <w:tcPr>
            <w:tcW w:w="1663" w:type="dxa"/>
            <w:vMerge/>
            <w:tcBorders>
              <w:left w:val="single" w:sz="12" w:space="0" w:color="auto"/>
            </w:tcBorders>
          </w:tcPr>
          <w:p w14:paraId="2A56D474" w14:textId="77777777" w:rsidR="00A851F4" w:rsidRDefault="00A851F4" w:rsidP="00D24ECF"/>
        </w:tc>
        <w:tc>
          <w:tcPr>
            <w:tcW w:w="1368" w:type="dxa"/>
            <w:vAlign w:val="center"/>
          </w:tcPr>
          <w:p w14:paraId="60212FCB" w14:textId="77777777" w:rsidR="00A851F4" w:rsidRDefault="00A851F4" w:rsidP="00D24ECF">
            <w:pPr>
              <w:jc w:val="center"/>
            </w:pPr>
            <w:r>
              <w:t>4</w:t>
            </w:r>
          </w:p>
        </w:tc>
        <w:tc>
          <w:tcPr>
            <w:tcW w:w="1896" w:type="dxa"/>
            <w:vMerge/>
          </w:tcPr>
          <w:p w14:paraId="74336DC9" w14:textId="4D0D4EAB" w:rsidR="00A851F4" w:rsidRDefault="00A851F4" w:rsidP="00D24ECF"/>
        </w:tc>
        <w:tc>
          <w:tcPr>
            <w:tcW w:w="2784" w:type="dxa"/>
          </w:tcPr>
          <w:p w14:paraId="7407BF90" w14:textId="1295961F" w:rsidR="00A851F4" w:rsidRDefault="00A851F4" w:rsidP="00A851F4">
            <w:r>
              <w:t>Michigan</w:t>
            </w:r>
          </w:p>
        </w:tc>
        <w:tc>
          <w:tcPr>
            <w:tcW w:w="1619" w:type="dxa"/>
            <w:tcBorders>
              <w:right w:val="single" w:sz="12" w:space="0" w:color="auto"/>
            </w:tcBorders>
          </w:tcPr>
          <w:p w14:paraId="684CE7C7" w14:textId="77777777" w:rsidR="00A851F4" w:rsidRDefault="00A851F4" w:rsidP="00D24ECF">
            <w:r>
              <w:t>Michigan</w:t>
            </w:r>
          </w:p>
        </w:tc>
      </w:tr>
      <w:tr w:rsidR="00D24ECF" w14:paraId="5367F151" w14:textId="77777777" w:rsidTr="00D24ECF">
        <w:tc>
          <w:tcPr>
            <w:tcW w:w="1663" w:type="dxa"/>
            <w:vMerge/>
            <w:tcBorders>
              <w:left w:val="single" w:sz="12" w:space="0" w:color="auto"/>
              <w:bottom w:val="single" w:sz="12" w:space="0" w:color="auto"/>
            </w:tcBorders>
          </w:tcPr>
          <w:p w14:paraId="56BB5A58" w14:textId="77777777" w:rsidR="00D24ECF" w:rsidRDefault="00D24ECF" w:rsidP="00D24ECF"/>
        </w:tc>
        <w:tc>
          <w:tcPr>
            <w:tcW w:w="1368" w:type="dxa"/>
            <w:tcBorders>
              <w:bottom w:val="single" w:sz="12" w:space="0" w:color="auto"/>
            </w:tcBorders>
            <w:vAlign w:val="center"/>
          </w:tcPr>
          <w:p w14:paraId="6C85D07C" w14:textId="77777777" w:rsidR="00D24ECF" w:rsidRDefault="00D24ECF" w:rsidP="00D24ECF">
            <w:pPr>
              <w:jc w:val="center"/>
            </w:pPr>
            <w:r>
              <w:t>5</w:t>
            </w:r>
          </w:p>
        </w:tc>
        <w:tc>
          <w:tcPr>
            <w:tcW w:w="1896" w:type="dxa"/>
            <w:tcBorders>
              <w:bottom w:val="single" w:sz="12" w:space="0" w:color="auto"/>
            </w:tcBorders>
          </w:tcPr>
          <w:p w14:paraId="649C222D" w14:textId="2A09088F" w:rsidR="00D24ECF" w:rsidRDefault="00A851F4" w:rsidP="00D24ECF">
            <w:r>
              <w:t>Michigan</w:t>
            </w:r>
          </w:p>
        </w:tc>
        <w:tc>
          <w:tcPr>
            <w:tcW w:w="2784" w:type="dxa"/>
            <w:tcBorders>
              <w:bottom w:val="single" w:sz="12" w:space="0" w:color="auto"/>
            </w:tcBorders>
          </w:tcPr>
          <w:p w14:paraId="54D7FF60" w14:textId="77777777" w:rsidR="00D24ECF" w:rsidRDefault="00D24ECF" w:rsidP="00D24ECF">
            <w:r>
              <w:t>Texas/Missouri/Illinois/West Virginia/New York</w:t>
            </w:r>
          </w:p>
        </w:tc>
        <w:tc>
          <w:tcPr>
            <w:tcW w:w="1619" w:type="dxa"/>
            <w:tcBorders>
              <w:bottom w:val="single" w:sz="12" w:space="0" w:color="auto"/>
              <w:right w:val="single" w:sz="12" w:space="0" w:color="auto"/>
            </w:tcBorders>
          </w:tcPr>
          <w:p w14:paraId="7D6CD658" w14:textId="77777777" w:rsidR="00D24ECF" w:rsidRDefault="00D24ECF" w:rsidP="00D24ECF">
            <w:r>
              <w:t>Texas</w:t>
            </w:r>
          </w:p>
        </w:tc>
      </w:tr>
      <w:tr w:rsidR="00D24ECF" w14:paraId="0926E253" w14:textId="77777777" w:rsidTr="00D24ECF">
        <w:tc>
          <w:tcPr>
            <w:tcW w:w="1663" w:type="dxa"/>
            <w:vMerge w:val="restart"/>
            <w:tcBorders>
              <w:top w:val="single" w:sz="12" w:space="0" w:color="auto"/>
              <w:left w:val="single" w:sz="12" w:space="0" w:color="auto"/>
            </w:tcBorders>
            <w:textDirection w:val="btLr"/>
            <w:vAlign w:val="center"/>
          </w:tcPr>
          <w:p w14:paraId="55A19A4C" w14:textId="77777777" w:rsidR="00D24ECF" w:rsidRDefault="00D24ECF" w:rsidP="00D24ECF">
            <w:pPr>
              <w:ind w:left="113" w:right="113"/>
              <w:jc w:val="center"/>
            </w:pPr>
            <w:r>
              <w:t>Shenandoah</w:t>
            </w:r>
          </w:p>
        </w:tc>
        <w:tc>
          <w:tcPr>
            <w:tcW w:w="1368" w:type="dxa"/>
            <w:tcBorders>
              <w:top w:val="single" w:sz="12" w:space="0" w:color="auto"/>
            </w:tcBorders>
            <w:vAlign w:val="center"/>
          </w:tcPr>
          <w:p w14:paraId="33A948B3" w14:textId="77777777" w:rsidR="00D24ECF" w:rsidRDefault="00D24ECF" w:rsidP="00D24ECF">
            <w:pPr>
              <w:jc w:val="center"/>
            </w:pPr>
            <w:r>
              <w:t>1</w:t>
            </w:r>
          </w:p>
        </w:tc>
        <w:tc>
          <w:tcPr>
            <w:tcW w:w="1896" w:type="dxa"/>
            <w:tcBorders>
              <w:top w:val="single" w:sz="12" w:space="0" w:color="auto"/>
            </w:tcBorders>
          </w:tcPr>
          <w:p w14:paraId="0056D4DF" w14:textId="77777777" w:rsidR="00D24ECF" w:rsidRDefault="003B74B3" w:rsidP="00D24ECF">
            <w:r>
              <w:t>Ohio</w:t>
            </w:r>
          </w:p>
        </w:tc>
        <w:tc>
          <w:tcPr>
            <w:tcW w:w="2784" w:type="dxa"/>
            <w:tcBorders>
              <w:top w:val="single" w:sz="12" w:space="0" w:color="auto"/>
            </w:tcBorders>
          </w:tcPr>
          <w:p w14:paraId="1E311A53" w14:textId="77777777" w:rsidR="00D24ECF" w:rsidRDefault="00D24ECF" w:rsidP="00D24ECF">
            <w:r>
              <w:t>Pennsylvania</w:t>
            </w:r>
          </w:p>
        </w:tc>
        <w:tc>
          <w:tcPr>
            <w:tcW w:w="1619" w:type="dxa"/>
            <w:tcBorders>
              <w:top w:val="single" w:sz="12" w:space="0" w:color="auto"/>
              <w:right w:val="single" w:sz="12" w:space="0" w:color="auto"/>
            </w:tcBorders>
          </w:tcPr>
          <w:p w14:paraId="5CCB952E" w14:textId="77777777" w:rsidR="00D24ECF" w:rsidRDefault="00D24ECF" w:rsidP="00D24ECF">
            <w:r>
              <w:t>Ohio</w:t>
            </w:r>
          </w:p>
        </w:tc>
      </w:tr>
      <w:tr w:rsidR="00D24ECF" w14:paraId="708232BA" w14:textId="77777777" w:rsidTr="00D24ECF">
        <w:tc>
          <w:tcPr>
            <w:tcW w:w="1663" w:type="dxa"/>
            <w:vMerge/>
            <w:tcBorders>
              <w:left w:val="single" w:sz="12" w:space="0" w:color="auto"/>
            </w:tcBorders>
          </w:tcPr>
          <w:p w14:paraId="33C5511C" w14:textId="77777777" w:rsidR="00D24ECF" w:rsidRDefault="00D24ECF" w:rsidP="00D24ECF"/>
        </w:tc>
        <w:tc>
          <w:tcPr>
            <w:tcW w:w="1368" w:type="dxa"/>
            <w:vAlign w:val="center"/>
          </w:tcPr>
          <w:p w14:paraId="33C57989" w14:textId="77777777" w:rsidR="00D24ECF" w:rsidRDefault="00D24ECF" w:rsidP="00D24ECF">
            <w:pPr>
              <w:jc w:val="center"/>
            </w:pPr>
            <w:r>
              <w:t>2</w:t>
            </w:r>
          </w:p>
        </w:tc>
        <w:tc>
          <w:tcPr>
            <w:tcW w:w="1896" w:type="dxa"/>
          </w:tcPr>
          <w:p w14:paraId="39D458DB" w14:textId="77777777" w:rsidR="00D24ECF" w:rsidRDefault="003B74B3" w:rsidP="00D24ECF">
            <w:r>
              <w:t>Pennsylvania</w:t>
            </w:r>
          </w:p>
        </w:tc>
        <w:tc>
          <w:tcPr>
            <w:tcW w:w="2784" w:type="dxa"/>
          </w:tcPr>
          <w:p w14:paraId="2261AC77" w14:textId="77777777" w:rsidR="00D24ECF" w:rsidRDefault="00D24ECF" w:rsidP="00D24ECF">
            <w:r>
              <w:t>Ohio</w:t>
            </w:r>
          </w:p>
        </w:tc>
        <w:tc>
          <w:tcPr>
            <w:tcW w:w="1619" w:type="dxa"/>
            <w:tcBorders>
              <w:right w:val="single" w:sz="12" w:space="0" w:color="auto"/>
            </w:tcBorders>
          </w:tcPr>
          <w:p w14:paraId="18222215" w14:textId="77777777" w:rsidR="00D24ECF" w:rsidRDefault="00D24ECF" w:rsidP="00D24ECF">
            <w:r>
              <w:t>Pennsylvania</w:t>
            </w:r>
          </w:p>
        </w:tc>
      </w:tr>
      <w:tr w:rsidR="00D24ECF" w14:paraId="22500C7B" w14:textId="77777777" w:rsidTr="00D24ECF">
        <w:tc>
          <w:tcPr>
            <w:tcW w:w="1663" w:type="dxa"/>
            <w:vMerge/>
            <w:tcBorders>
              <w:left w:val="single" w:sz="12" w:space="0" w:color="auto"/>
            </w:tcBorders>
          </w:tcPr>
          <w:p w14:paraId="4DE10520" w14:textId="77777777" w:rsidR="00D24ECF" w:rsidRDefault="00D24ECF" w:rsidP="00D24ECF"/>
        </w:tc>
        <w:tc>
          <w:tcPr>
            <w:tcW w:w="1368" w:type="dxa"/>
            <w:vAlign w:val="center"/>
          </w:tcPr>
          <w:p w14:paraId="4C8E8AB2" w14:textId="77777777" w:rsidR="00D24ECF" w:rsidRDefault="00D24ECF" w:rsidP="00D24ECF">
            <w:pPr>
              <w:jc w:val="center"/>
            </w:pPr>
            <w:r>
              <w:t>3</w:t>
            </w:r>
          </w:p>
        </w:tc>
        <w:tc>
          <w:tcPr>
            <w:tcW w:w="1896" w:type="dxa"/>
          </w:tcPr>
          <w:p w14:paraId="136BA1FD" w14:textId="77777777" w:rsidR="00D24ECF" w:rsidRDefault="003B74B3" w:rsidP="00D24ECF">
            <w:r>
              <w:t>West Virginia</w:t>
            </w:r>
          </w:p>
        </w:tc>
        <w:tc>
          <w:tcPr>
            <w:tcW w:w="2784" w:type="dxa"/>
          </w:tcPr>
          <w:p w14:paraId="233219CA" w14:textId="77777777" w:rsidR="00D24ECF" w:rsidRDefault="00D24ECF" w:rsidP="00D24ECF">
            <w:r>
              <w:t>West Virginia</w:t>
            </w:r>
          </w:p>
        </w:tc>
        <w:tc>
          <w:tcPr>
            <w:tcW w:w="1619" w:type="dxa"/>
            <w:tcBorders>
              <w:right w:val="single" w:sz="12" w:space="0" w:color="auto"/>
            </w:tcBorders>
          </w:tcPr>
          <w:p w14:paraId="54141AAC" w14:textId="77777777" w:rsidR="00D24ECF" w:rsidRDefault="00D24ECF" w:rsidP="00D24ECF">
            <w:r>
              <w:t>Indiana</w:t>
            </w:r>
          </w:p>
        </w:tc>
      </w:tr>
      <w:tr w:rsidR="00D24ECF" w14:paraId="40A10682" w14:textId="77777777" w:rsidTr="00D24ECF">
        <w:tc>
          <w:tcPr>
            <w:tcW w:w="1663" w:type="dxa"/>
            <w:vMerge/>
            <w:tcBorders>
              <w:left w:val="single" w:sz="12" w:space="0" w:color="auto"/>
            </w:tcBorders>
          </w:tcPr>
          <w:p w14:paraId="73FB95E9" w14:textId="77777777" w:rsidR="00D24ECF" w:rsidRDefault="00D24ECF" w:rsidP="00D24ECF"/>
        </w:tc>
        <w:tc>
          <w:tcPr>
            <w:tcW w:w="1368" w:type="dxa"/>
            <w:vAlign w:val="center"/>
          </w:tcPr>
          <w:p w14:paraId="15B2F393" w14:textId="77777777" w:rsidR="00D24ECF" w:rsidRDefault="00D24ECF" w:rsidP="00D24ECF">
            <w:pPr>
              <w:jc w:val="center"/>
            </w:pPr>
            <w:r>
              <w:t>4</w:t>
            </w:r>
          </w:p>
        </w:tc>
        <w:tc>
          <w:tcPr>
            <w:tcW w:w="1896" w:type="dxa"/>
          </w:tcPr>
          <w:p w14:paraId="0D36FF7C" w14:textId="77777777" w:rsidR="00D24ECF" w:rsidRDefault="003B74B3" w:rsidP="00D24ECF">
            <w:r>
              <w:t>North Carolina</w:t>
            </w:r>
          </w:p>
        </w:tc>
        <w:tc>
          <w:tcPr>
            <w:tcW w:w="2784" w:type="dxa"/>
          </w:tcPr>
          <w:p w14:paraId="11F3EA8D" w14:textId="77777777" w:rsidR="00D24ECF" w:rsidRDefault="00D24ECF" w:rsidP="00D24ECF">
            <w:r>
              <w:t>Maryland</w:t>
            </w:r>
          </w:p>
        </w:tc>
        <w:tc>
          <w:tcPr>
            <w:tcW w:w="1619" w:type="dxa"/>
            <w:tcBorders>
              <w:right w:val="single" w:sz="12" w:space="0" w:color="auto"/>
            </w:tcBorders>
          </w:tcPr>
          <w:p w14:paraId="5579E708" w14:textId="77777777" w:rsidR="00D24ECF" w:rsidRDefault="00D24ECF" w:rsidP="00D24ECF">
            <w:r>
              <w:t>West Virginia</w:t>
            </w:r>
          </w:p>
        </w:tc>
      </w:tr>
      <w:tr w:rsidR="00D24ECF" w14:paraId="6CA1E8BB" w14:textId="77777777" w:rsidTr="00F65924">
        <w:trPr>
          <w:cantSplit/>
        </w:trPr>
        <w:tc>
          <w:tcPr>
            <w:tcW w:w="1663" w:type="dxa"/>
            <w:vMerge/>
            <w:tcBorders>
              <w:left w:val="single" w:sz="12" w:space="0" w:color="auto"/>
              <w:bottom w:val="single" w:sz="12" w:space="0" w:color="auto"/>
            </w:tcBorders>
          </w:tcPr>
          <w:p w14:paraId="7C837294" w14:textId="77777777" w:rsidR="00D24ECF" w:rsidRDefault="00D24ECF" w:rsidP="00D24ECF"/>
        </w:tc>
        <w:tc>
          <w:tcPr>
            <w:tcW w:w="1368" w:type="dxa"/>
            <w:tcBorders>
              <w:bottom w:val="single" w:sz="12" w:space="0" w:color="auto"/>
            </w:tcBorders>
            <w:vAlign w:val="center"/>
          </w:tcPr>
          <w:p w14:paraId="59CF914C" w14:textId="77777777" w:rsidR="00D24ECF" w:rsidRDefault="00D24ECF" w:rsidP="00D24ECF">
            <w:pPr>
              <w:jc w:val="center"/>
            </w:pPr>
            <w:r>
              <w:t>5</w:t>
            </w:r>
          </w:p>
        </w:tc>
        <w:tc>
          <w:tcPr>
            <w:tcW w:w="1896" w:type="dxa"/>
            <w:tcBorders>
              <w:bottom w:val="single" w:sz="12" w:space="0" w:color="auto"/>
            </w:tcBorders>
          </w:tcPr>
          <w:p w14:paraId="0B06026E" w14:textId="77777777" w:rsidR="00D24ECF" w:rsidRDefault="003B74B3" w:rsidP="00D24ECF">
            <w:r>
              <w:t>Maryland</w:t>
            </w:r>
          </w:p>
        </w:tc>
        <w:tc>
          <w:tcPr>
            <w:tcW w:w="2784" w:type="dxa"/>
            <w:tcBorders>
              <w:bottom w:val="single" w:sz="12" w:space="0" w:color="auto"/>
            </w:tcBorders>
          </w:tcPr>
          <w:p w14:paraId="0097E612" w14:textId="77777777" w:rsidR="00D24ECF" w:rsidRDefault="00D24ECF" w:rsidP="00D24ECF">
            <w:r>
              <w:t>Indiana</w:t>
            </w:r>
          </w:p>
        </w:tc>
        <w:tc>
          <w:tcPr>
            <w:tcW w:w="1619" w:type="dxa"/>
            <w:tcBorders>
              <w:bottom w:val="single" w:sz="12" w:space="0" w:color="auto"/>
              <w:right w:val="single" w:sz="12" w:space="0" w:color="auto"/>
            </w:tcBorders>
          </w:tcPr>
          <w:p w14:paraId="5E61E52D" w14:textId="77777777" w:rsidR="00D24ECF" w:rsidRDefault="00D24ECF" w:rsidP="00D24ECF">
            <w:r>
              <w:t>Virginia</w:t>
            </w:r>
          </w:p>
        </w:tc>
      </w:tr>
    </w:tbl>
    <w:p w14:paraId="1A6A3D21" w14:textId="67F09AC5" w:rsidR="0045116C" w:rsidRDefault="00E6432E" w:rsidP="000B30E5">
      <w:pPr>
        <w:rPr>
          <w:i/>
          <w:sz w:val="20"/>
        </w:rPr>
      </w:pPr>
      <w:r w:rsidRPr="00F52241">
        <w:rPr>
          <w:i/>
          <w:sz w:val="20"/>
        </w:rPr>
        <w:t>Note: Cells with more than one source state/territory indicate equal values.</w:t>
      </w:r>
      <w:r w:rsidR="001C6A1B">
        <w:rPr>
          <w:i/>
          <w:sz w:val="20"/>
        </w:rPr>
        <w:br/>
      </w:r>
      <w:r w:rsidR="001C6A1B" w:rsidRPr="00D62DDA">
        <w:rPr>
          <w:i/>
          <w:sz w:val="20"/>
          <w:szCs w:val="20"/>
        </w:rPr>
        <w:t>*</w:t>
      </w:r>
      <w:r w:rsidR="001C6A1B" w:rsidRPr="00160D14">
        <w:rPr>
          <w:sz w:val="20"/>
          <w:szCs w:val="20"/>
        </w:rPr>
        <w:t xml:space="preserve"> The 2012 analysis uses 2008 NEI emissions, 2007 NPRI point source emissions and 2009 NPRI area and mobile source emissions. (See table 2-1 of the report NESCAUM, 2012)</w:t>
      </w:r>
    </w:p>
    <w:p w14:paraId="78B7E3BE" w14:textId="77777777" w:rsidR="00F52241" w:rsidRDefault="00F52241" w:rsidP="000B30E5">
      <w:pPr>
        <w:rPr>
          <w:i/>
          <w:sz w:val="20"/>
        </w:rPr>
      </w:pPr>
    </w:p>
    <w:p w14:paraId="41A8D82D" w14:textId="7A79C0B6" w:rsidR="00B90C97" w:rsidRDefault="0046507E" w:rsidP="00F52241">
      <w:pPr>
        <w:sectPr w:rsidR="00B90C97" w:rsidSect="0046507E">
          <w:pgSz w:w="12240" w:h="15840"/>
          <w:pgMar w:top="1440" w:right="1440" w:bottom="1440" w:left="1440" w:header="720" w:footer="720" w:gutter="0"/>
          <w:pgNumType w:start="1"/>
          <w:cols w:space="720"/>
          <w:titlePg/>
          <w:docGrid w:linePitch="360"/>
        </w:sectPr>
      </w:pPr>
      <w:r>
        <w:fldChar w:fldCharType="begin"/>
      </w:r>
      <w:r>
        <w:instrText xml:space="preserve"> REF _Ref447092704 \h </w:instrText>
      </w:r>
      <w:r>
        <w:fldChar w:fldCharType="separate"/>
      </w:r>
      <w:r w:rsidR="00EC31AC">
        <w:t xml:space="preserve">Table </w:t>
      </w:r>
      <w:r w:rsidR="00EC31AC">
        <w:rPr>
          <w:noProof/>
        </w:rPr>
        <w:t>2</w:t>
      </w:r>
      <w:r>
        <w:fldChar w:fldCharType="end"/>
      </w:r>
      <w:r w:rsidR="00C921F6">
        <w:t xml:space="preserve">, </w:t>
      </w:r>
      <w:r w:rsidR="00F52241">
        <w:t>display</w:t>
      </w:r>
      <w:r w:rsidR="00C921F6">
        <w:t>s</w:t>
      </w:r>
      <w:r w:rsidR="00F52241">
        <w:t xml:space="preserve"> the quantitative contributions to the MANE-VU and neighboring </w:t>
      </w:r>
      <w:r w:rsidR="00706E0E">
        <w:t>Class I</w:t>
      </w:r>
      <w:r w:rsidR="00F52241">
        <w:t xml:space="preserve"> areas</w:t>
      </w:r>
      <w:r w:rsidR="00F92769">
        <w:t xml:space="preserve"> between the 2012 analysis (2007 emissions) and the 2015 (2011 emissions</w:t>
      </w:r>
      <w:r w:rsidR="00F12765">
        <w:t xml:space="preserve">). </w:t>
      </w:r>
    </w:p>
    <w:p w14:paraId="60D7D9F5" w14:textId="07AE6A47" w:rsidR="0045014C" w:rsidRDefault="0045014C" w:rsidP="0045014C">
      <w:pPr>
        <w:pStyle w:val="Caption"/>
        <w:keepNext/>
      </w:pPr>
      <w:bookmarkStart w:id="13" w:name="_Ref447092704"/>
      <w:bookmarkStart w:id="14" w:name="_Toc447733835"/>
      <w:r>
        <w:t xml:space="preserve">Table </w:t>
      </w:r>
      <w:r w:rsidR="002B14BC">
        <w:fldChar w:fldCharType="begin"/>
      </w:r>
      <w:r w:rsidR="002B14BC">
        <w:instrText xml:space="preserve"> SEQ Table \* ARABIC </w:instrText>
      </w:r>
      <w:r w:rsidR="002B14BC">
        <w:fldChar w:fldCharType="separate"/>
      </w:r>
      <w:r w:rsidR="00EC31AC">
        <w:rPr>
          <w:noProof/>
        </w:rPr>
        <w:t>2</w:t>
      </w:r>
      <w:r w:rsidR="002B14BC">
        <w:rPr>
          <w:noProof/>
        </w:rPr>
        <w:fldChar w:fldCharType="end"/>
      </w:r>
      <w:bookmarkEnd w:id="13"/>
      <w:r>
        <w:t>. Comparison of State Emissions Contributions from 2007 Emissions and 2011 Emissions.</w:t>
      </w:r>
      <w:bookmarkEnd w:id="14"/>
    </w:p>
    <w:p w14:paraId="0BD17F6E" w14:textId="08BA45D0" w:rsidR="00F92769" w:rsidRDefault="00FB4CD6" w:rsidP="00F52241">
      <w:r w:rsidRPr="00FB4CD6">
        <w:rPr>
          <w:noProof/>
        </w:rPr>
        <w:drawing>
          <wp:inline distT="0" distB="0" distL="0" distR="0" wp14:anchorId="3E1CF6A8" wp14:editId="2F578EA7">
            <wp:extent cx="6468251" cy="62484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9961" cy="6250052"/>
                    </a:xfrm>
                    <a:prstGeom prst="rect">
                      <a:avLst/>
                    </a:prstGeom>
                    <a:noFill/>
                    <a:ln>
                      <a:noFill/>
                    </a:ln>
                  </pic:spPr>
                </pic:pic>
              </a:graphicData>
            </a:graphic>
          </wp:inline>
        </w:drawing>
      </w:r>
    </w:p>
    <w:p w14:paraId="1C9032DF" w14:textId="49B5F49E" w:rsidR="00364A45" w:rsidRDefault="00364A45" w:rsidP="004A4EB2">
      <w:pPr>
        <w:pStyle w:val="Heading3"/>
      </w:pPr>
      <w:bookmarkStart w:id="15" w:name="_Toc447733821"/>
      <w:r>
        <w:t xml:space="preserve">2011 Point </w:t>
      </w:r>
      <w:r w:rsidR="00706E0E">
        <w:t>Source Analysis</w:t>
      </w:r>
      <w:bookmarkEnd w:id="15"/>
    </w:p>
    <w:p w14:paraId="62FC602A" w14:textId="22660042" w:rsidR="004A4EB2" w:rsidRDefault="004A4EB2" w:rsidP="004A4EB2">
      <w:r>
        <w:t>The analysis was</w:t>
      </w:r>
      <w:r w:rsidR="006902DF">
        <w:t xml:space="preserve"> c</w:t>
      </w:r>
      <w:r>
        <w:t xml:space="preserve">ompleted for </w:t>
      </w:r>
      <w:r w:rsidR="00456425">
        <w:t>the 2011 NEI v2 point inventory</w:t>
      </w:r>
      <w:r w:rsidR="00DA05DF">
        <w:t xml:space="preserve">.  </w:t>
      </w:r>
      <w:r w:rsidR="00706E0E">
        <w:fldChar w:fldCharType="begin"/>
      </w:r>
      <w:r w:rsidR="00706E0E">
        <w:instrText xml:space="preserve"> REF _Ref436989112 \h </w:instrText>
      </w:r>
      <w:r w:rsidR="00706E0E">
        <w:fldChar w:fldCharType="separate"/>
      </w:r>
      <w:r w:rsidR="00EC31AC">
        <w:t xml:space="preserve">Table </w:t>
      </w:r>
      <w:r w:rsidR="00EC31AC">
        <w:rPr>
          <w:noProof/>
        </w:rPr>
        <w:t>3</w:t>
      </w:r>
      <w:r w:rsidR="00706E0E">
        <w:fldChar w:fldCharType="end"/>
      </w:r>
      <w:r w:rsidR="00DA05DF">
        <w:t xml:space="preserve">, displays the top five ranks states with but the 2011 </w:t>
      </w:r>
      <w:r w:rsidR="0039506A">
        <w:t>population weighted centroid</w:t>
      </w:r>
      <w:r w:rsidR="00DA05DF">
        <w:t xml:space="preserve"> </w:t>
      </w:r>
      <w:r w:rsidR="00084EC7">
        <w:t>SO</w:t>
      </w:r>
      <w:r w:rsidR="00084EC7" w:rsidRPr="00084EC7">
        <w:rPr>
          <w:vertAlign w:val="subscript"/>
        </w:rPr>
        <w:t>2</w:t>
      </w:r>
      <w:r w:rsidR="00DA05DF">
        <w:t xml:space="preserve"> emissions and the point only </w:t>
      </w:r>
      <w:r w:rsidR="00084EC7">
        <w:t>SO</w:t>
      </w:r>
      <w:r w:rsidR="00084EC7" w:rsidRPr="00084EC7">
        <w:rPr>
          <w:vertAlign w:val="subscript"/>
        </w:rPr>
        <w:t>2</w:t>
      </w:r>
      <w:r w:rsidR="00DA05DF">
        <w:t xml:space="preserve"> emissions in the </w:t>
      </w:r>
      <w:r w:rsidR="00160D14">
        <w:t>C</w:t>
      </w:r>
      <w:r w:rsidR="00160D14" w:rsidRPr="00160D14">
        <w:rPr>
          <w:vertAlign w:val="subscript"/>
        </w:rPr>
        <w:t>i</w:t>
      </w:r>
      <w:r w:rsidR="006902DF">
        <w:rPr>
          <w:vertAlign w:val="subscript"/>
        </w:rPr>
        <w:t xml:space="preserve"> </w:t>
      </w:r>
      <w:r w:rsidR="00706E0E">
        <w:t>(Q</w:t>
      </w:r>
      <w:r w:rsidR="00DA05DF">
        <w:t>/d</w:t>
      </w:r>
      <w:r w:rsidR="00706E0E">
        <w:t>)</w:t>
      </w:r>
      <w:r w:rsidR="00DA05DF">
        <w:t xml:space="preserve"> method. Highlighted cells indicate states that varied in their ranks between the analyses. Two of the eight </w:t>
      </w:r>
      <w:r w:rsidR="00706E0E">
        <w:t>Class I</w:t>
      </w:r>
      <w:r w:rsidR="00DA05DF">
        <w:t xml:space="preserve"> areas </w:t>
      </w:r>
      <w:r w:rsidR="00162922">
        <w:t>saw</w:t>
      </w:r>
      <w:r w:rsidR="00DA05DF">
        <w:t xml:space="preserve"> a significant difference in the rankings; Brigantine and Moosehorn. </w:t>
      </w:r>
      <w:r w:rsidR="00563332">
        <w:t xml:space="preserve">The relative quantities displayed in </w:t>
      </w:r>
      <w:r w:rsidR="00706E0E">
        <w:fldChar w:fldCharType="begin"/>
      </w:r>
      <w:r w:rsidR="00706E0E">
        <w:instrText xml:space="preserve"> REF _Ref436989112 \h </w:instrText>
      </w:r>
      <w:r w:rsidR="00706E0E">
        <w:fldChar w:fldCharType="separate"/>
      </w:r>
      <w:r w:rsidR="00EC31AC">
        <w:t xml:space="preserve">Table </w:t>
      </w:r>
      <w:r w:rsidR="00EC31AC">
        <w:rPr>
          <w:noProof/>
        </w:rPr>
        <w:t>3</w:t>
      </w:r>
      <w:r w:rsidR="00706E0E">
        <w:fldChar w:fldCharType="end"/>
      </w:r>
      <w:r w:rsidR="00FD5E0C">
        <w:t xml:space="preserve"> </w:t>
      </w:r>
      <w:r w:rsidR="00563332">
        <w:t xml:space="preserve">also indicate that the point sources are still a significant portion of </w:t>
      </w:r>
      <w:r w:rsidR="00706E0E">
        <w:t>each</w:t>
      </w:r>
      <w:r w:rsidR="00563332">
        <w:t xml:space="preserve"> state’s contributions with respect to </w:t>
      </w:r>
      <w:r w:rsidR="00084EC7">
        <w:t>SO</w:t>
      </w:r>
      <w:r w:rsidR="00084EC7" w:rsidRPr="00084EC7">
        <w:rPr>
          <w:vertAlign w:val="subscript"/>
        </w:rPr>
        <w:t>2</w:t>
      </w:r>
      <w:r w:rsidR="00563332">
        <w:t xml:space="preserve"> emissions. </w:t>
      </w:r>
      <w:r w:rsidR="0046507E">
        <w:fldChar w:fldCharType="begin"/>
      </w:r>
      <w:r w:rsidR="0046507E">
        <w:instrText xml:space="preserve"> REF _Ref447092681 \h </w:instrText>
      </w:r>
      <w:r w:rsidR="0046507E">
        <w:fldChar w:fldCharType="separate"/>
      </w:r>
      <w:r w:rsidR="00EC31AC">
        <w:t>Figure</w:t>
      </w:r>
      <w:r w:rsidR="00162922">
        <w:t>s</w:t>
      </w:r>
      <w:r w:rsidR="00EC31AC">
        <w:t xml:space="preserve"> </w:t>
      </w:r>
      <w:r w:rsidR="00EC31AC">
        <w:rPr>
          <w:noProof/>
        </w:rPr>
        <w:t>3</w:t>
      </w:r>
      <w:r w:rsidR="0046507E">
        <w:fldChar w:fldCharType="end"/>
      </w:r>
      <w:r w:rsidR="0046507E">
        <w:t xml:space="preserve"> and </w:t>
      </w:r>
      <w:r w:rsidR="0046507E">
        <w:fldChar w:fldCharType="begin"/>
      </w:r>
      <w:r w:rsidR="0046507E">
        <w:instrText xml:space="preserve"> REF _Ref447092682 \h </w:instrText>
      </w:r>
      <w:r w:rsidR="0046507E">
        <w:fldChar w:fldCharType="separate"/>
      </w:r>
      <w:r w:rsidR="00EC31AC">
        <w:t xml:space="preserve"> </w:t>
      </w:r>
      <w:r w:rsidR="00EC31AC">
        <w:rPr>
          <w:noProof/>
        </w:rPr>
        <w:t>4</w:t>
      </w:r>
      <w:r w:rsidR="0046507E">
        <w:fldChar w:fldCharType="end"/>
      </w:r>
      <w:r w:rsidR="0046507E">
        <w:t xml:space="preserve"> </w:t>
      </w:r>
      <w:r w:rsidR="007E06C3">
        <w:t xml:space="preserve">below </w:t>
      </w:r>
      <w:r w:rsidR="00660C5E">
        <w:t>clarify how the evaluation of the contributions by individual source or state total with population centroid approach can alter the results</w:t>
      </w:r>
      <w:r w:rsidR="00BD48BA">
        <w:t>, using Brigantine as an example</w:t>
      </w:r>
      <w:r w:rsidR="007E06C3">
        <w:t xml:space="preserve">. </w:t>
      </w:r>
      <w:r w:rsidR="002E6924">
        <w:t xml:space="preserve">The analysis when done by on an individual source places each source with in different vector constants, theoretically more accurate approach especially with the intent to consider individual source contributions in further analyses. </w:t>
      </w:r>
    </w:p>
    <w:p w14:paraId="07020C38" w14:textId="2E968C8C" w:rsidR="00DA05DF" w:rsidRDefault="00DA05DF" w:rsidP="00DA05DF">
      <w:pPr>
        <w:pStyle w:val="Caption"/>
        <w:keepNext/>
      </w:pPr>
      <w:bookmarkStart w:id="16" w:name="_Ref436989112"/>
      <w:bookmarkStart w:id="17" w:name="_Toc447733836"/>
      <w:r>
        <w:t xml:space="preserve">Table </w:t>
      </w:r>
      <w:r w:rsidR="002B14BC">
        <w:fldChar w:fldCharType="begin"/>
      </w:r>
      <w:r w:rsidR="002B14BC">
        <w:instrText xml:space="preserve"> SEQ Table \* ARABIC </w:instrText>
      </w:r>
      <w:r w:rsidR="002B14BC">
        <w:fldChar w:fldCharType="separate"/>
      </w:r>
      <w:r w:rsidR="00EC31AC">
        <w:rPr>
          <w:noProof/>
        </w:rPr>
        <w:t>3</w:t>
      </w:r>
      <w:r w:rsidR="002B14BC">
        <w:rPr>
          <w:noProof/>
        </w:rPr>
        <w:fldChar w:fldCharType="end"/>
      </w:r>
      <w:bookmarkEnd w:id="16"/>
      <w:r>
        <w:t xml:space="preserve">. Top Five Ranking Contributing States </w:t>
      </w:r>
      <w:r w:rsidR="00915557">
        <w:t xml:space="preserve">of </w:t>
      </w:r>
      <w:r>
        <w:t xml:space="preserve">Point Only </w:t>
      </w:r>
      <w:r w:rsidR="0039506A">
        <w:t xml:space="preserve">and Population Weighted Centroid </w:t>
      </w:r>
      <w:r>
        <w:t>Methodology</w:t>
      </w:r>
      <w:bookmarkEnd w:id="17"/>
    </w:p>
    <w:tbl>
      <w:tblPr>
        <w:tblW w:w="9981" w:type="dxa"/>
        <w:tblCellMar>
          <w:left w:w="72" w:type="dxa"/>
          <w:right w:w="72" w:type="dxa"/>
        </w:tblCellMar>
        <w:tblLook w:val="04A0" w:firstRow="1" w:lastRow="0" w:firstColumn="1" w:lastColumn="0" w:noHBand="0" w:noVBand="1"/>
      </w:tblPr>
      <w:tblGrid>
        <w:gridCol w:w="1213"/>
        <w:gridCol w:w="1748"/>
        <w:gridCol w:w="1539"/>
        <w:gridCol w:w="1701"/>
        <w:gridCol w:w="1710"/>
        <w:gridCol w:w="2070"/>
      </w:tblGrid>
      <w:tr w:rsidR="0039506A" w:rsidRPr="00DA05DF" w14:paraId="03E9DD44" w14:textId="77777777" w:rsidTr="00160D14">
        <w:trPr>
          <w:trHeight w:val="60"/>
        </w:trPr>
        <w:tc>
          <w:tcPr>
            <w:tcW w:w="4500" w:type="dxa"/>
            <w:gridSpan w:val="3"/>
            <w:tcBorders>
              <w:top w:val="single" w:sz="8" w:space="0" w:color="auto"/>
              <w:left w:val="single" w:sz="8" w:space="0" w:color="auto"/>
              <w:right w:val="single" w:sz="8" w:space="0" w:color="000000"/>
            </w:tcBorders>
            <w:shd w:val="clear" w:color="auto" w:fill="auto"/>
            <w:noWrap/>
            <w:vAlign w:val="center"/>
            <w:hideMark/>
          </w:tcPr>
          <w:p w14:paraId="0AF64E1F" w14:textId="1A755F70" w:rsidR="0039506A" w:rsidRPr="00160D14" w:rsidRDefault="0039506A" w:rsidP="00A573D3">
            <w:pPr>
              <w:spacing w:after="0" w:line="240" w:lineRule="auto"/>
              <w:jc w:val="center"/>
              <w:rPr>
                <w:rFonts w:eastAsia="Times New Roman" w:cs="Times New Roman"/>
                <w:b/>
                <w:bCs/>
                <w:color w:val="000000"/>
              </w:rPr>
            </w:pPr>
            <w:r w:rsidRPr="00160D14">
              <w:rPr>
                <w:rFonts w:eastAsia="Times New Roman" w:cs="Times New Roman"/>
                <w:b/>
                <w:bCs/>
                <w:color w:val="000000"/>
              </w:rPr>
              <w:t>2011 Point Top 5 Contributions</w:t>
            </w:r>
          </w:p>
        </w:tc>
        <w:tc>
          <w:tcPr>
            <w:tcW w:w="5481" w:type="dxa"/>
            <w:gridSpan w:val="3"/>
            <w:tcBorders>
              <w:top w:val="single" w:sz="8" w:space="0" w:color="auto"/>
              <w:left w:val="nil"/>
              <w:right w:val="single" w:sz="8" w:space="0" w:color="000000"/>
            </w:tcBorders>
            <w:shd w:val="clear" w:color="auto" w:fill="auto"/>
            <w:noWrap/>
            <w:vAlign w:val="center"/>
            <w:hideMark/>
          </w:tcPr>
          <w:p w14:paraId="2657732A" w14:textId="26FB7169" w:rsidR="0039506A" w:rsidRPr="00160D14" w:rsidRDefault="0039506A" w:rsidP="00160D14">
            <w:pPr>
              <w:spacing w:after="0" w:line="240" w:lineRule="auto"/>
              <w:jc w:val="center"/>
              <w:rPr>
                <w:rFonts w:eastAsia="Times New Roman" w:cs="Times New Roman"/>
                <w:b/>
                <w:bCs/>
                <w:color w:val="000000"/>
              </w:rPr>
            </w:pPr>
            <w:r w:rsidRPr="00160D14">
              <w:rPr>
                <w:rFonts w:eastAsia="Times New Roman" w:cs="Times New Roman"/>
                <w:b/>
                <w:bCs/>
                <w:color w:val="000000"/>
              </w:rPr>
              <w:t>2011 Centroid Top 5 Contributions</w:t>
            </w:r>
          </w:p>
        </w:tc>
      </w:tr>
      <w:tr w:rsidR="00DA05DF" w:rsidRPr="00DA05DF" w14:paraId="6A7E08B9" w14:textId="77777777" w:rsidTr="00160D14">
        <w:trPr>
          <w:trHeight w:val="80"/>
        </w:trPr>
        <w:tc>
          <w:tcPr>
            <w:tcW w:w="1213" w:type="dxa"/>
            <w:tcBorders>
              <w:top w:val="nil"/>
              <w:left w:val="single" w:sz="8" w:space="0" w:color="auto"/>
              <w:bottom w:val="nil"/>
              <w:right w:val="nil"/>
            </w:tcBorders>
            <w:shd w:val="clear" w:color="auto" w:fill="auto"/>
            <w:noWrap/>
            <w:vAlign w:val="bottom"/>
            <w:hideMark/>
          </w:tcPr>
          <w:p w14:paraId="5CFC9BE2" w14:textId="77777777" w:rsidR="00DA05DF" w:rsidRPr="00160D14" w:rsidRDefault="00DA05DF" w:rsidP="00DA05DF">
            <w:pPr>
              <w:spacing w:after="0" w:line="240" w:lineRule="auto"/>
              <w:rPr>
                <w:rFonts w:eastAsia="Times New Roman" w:cs="Times New Roman"/>
                <w:color w:val="000000"/>
              </w:rPr>
            </w:pPr>
            <w:r w:rsidRPr="00160D14">
              <w:rPr>
                <w:rFonts w:eastAsia="Times New Roman" w:cs="Times New Roman"/>
                <w:color w:val="000000"/>
              </w:rPr>
              <w:t>Receptor</w:t>
            </w:r>
          </w:p>
        </w:tc>
        <w:tc>
          <w:tcPr>
            <w:tcW w:w="1748" w:type="dxa"/>
            <w:tcBorders>
              <w:top w:val="nil"/>
              <w:left w:val="nil"/>
              <w:bottom w:val="nil"/>
              <w:right w:val="nil"/>
            </w:tcBorders>
            <w:shd w:val="clear" w:color="auto" w:fill="auto"/>
            <w:noWrap/>
            <w:vAlign w:val="bottom"/>
            <w:hideMark/>
          </w:tcPr>
          <w:p w14:paraId="61F52416" w14:textId="77777777" w:rsidR="00DA05DF" w:rsidRPr="00160D14" w:rsidRDefault="00DA05DF" w:rsidP="00DA05DF">
            <w:pPr>
              <w:spacing w:after="0" w:line="240" w:lineRule="auto"/>
              <w:rPr>
                <w:rFonts w:eastAsia="Times New Roman" w:cs="Times New Roman"/>
                <w:color w:val="000000"/>
              </w:rPr>
            </w:pPr>
            <w:r w:rsidRPr="00160D14">
              <w:rPr>
                <w:rFonts w:eastAsia="Times New Roman" w:cs="Times New Roman"/>
                <w:color w:val="000000"/>
              </w:rPr>
              <w:t xml:space="preserve">State </w:t>
            </w:r>
          </w:p>
        </w:tc>
        <w:tc>
          <w:tcPr>
            <w:tcW w:w="1539" w:type="dxa"/>
            <w:tcBorders>
              <w:top w:val="nil"/>
              <w:left w:val="nil"/>
              <w:bottom w:val="nil"/>
              <w:right w:val="single" w:sz="8" w:space="0" w:color="auto"/>
            </w:tcBorders>
            <w:shd w:val="clear" w:color="auto" w:fill="auto"/>
            <w:noWrap/>
            <w:vAlign w:val="bottom"/>
            <w:hideMark/>
          </w:tcPr>
          <w:p w14:paraId="14764AEB" w14:textId="77777777" w:rsidR="00DA05DF" w:rsidRPr="00160D14" w:rsidRDefault="00DA05DF" w:rsidP="00DA05DF">
            <w:pPr>
              <w:spacing w:after="0" w:line="240" w:lineRule="auto"/>
              <w:rPr>
                <w:rFonts w:eastAsia="Times New Roman" w:cs="Times New Roman"/>
                <w:color w:val="000000"/>
              </w:rPr>
            </w:pPr>
            <w:r w:rsidRPr="00160D14">
              <w:rPr>
                <w:rFonts w:eastAsia="Times New Roman" w:cs="Times New Roman"/>
                <w:color w:val="000000"/>
              </w:rPr>
              <w:t>Contribution</w:t>
            </w:r>
          </w:p>
        </w:tc>
        <w:tc>
          <w:tcPr>
            <w:tcW w:w="1701" w:type="dxa"/>
            <w:tcBorders>
              <w:top w:val="nil"/>
              <w:left w:val="nil"/>
              <w:bottom w:val="nil"/>
              <w:right w:val="nil"/>
            </w:tcBorders>
            <w:shd w:val="clear" w:color="auto" w:fill="auto"/>
            <w:noWrap/>
            <w:vAlign w:val="bottom"/>
            <w:hideMark/>
          </w:tcPr>
          <w:p w14:paraId="1924D491" w14:textId="77777777" w:rsidR="00DA05DF" w:rsidRPr="00160D14" w:rsidRDefault="00DA05DF" w:rsidP="00DA05DF">
            <w:pPr>
              <w:spacing w:after="0" w:line="240" w:lineRule="auto"/>
              <w:rPr>
                <w:rFonts w:eastAsia="Times New Roman" w:cs="Times New Roman"/>
                <w:color w:val="000000"/>
              </w:rPr>
            </w:pPr>
            <w:r w:rsidRPr="00160D14">
              <w:rPr>
                <w:rFonts w:eastAsia="Times New Roman" w:cs="Times New Roman"/>
                <w:color w:val="000000"/>
              </w:rPr>
              <w:t>Receptor</w:t>
            </w:r>
          </w:p>
        </w:tc>
        <w:tc>
          <w:tcPr>
            <w:tcW w:w="1710" w:type="dxa"/>
            <w:tcBorders>
              <w:top w:val="nil"/>
              <w:left w:val="nil"/>
              <w:bottom w:val="nil"/>
              <w:right w:val="nil"/>
            </w:tcBorders>
            <w:shd w:val="clear" w:color="auto" w:fill="auto"/>
            <w:noWrap/>
            <w:vAlign w:val="bottom"/>
            <w:hideMark/>
          </w:tcPr>
          <w:p w14:paraId="34FB852F" w14:textId="77777777" w:rsidR="00DA05DF" w:rsidRPr="00160D14" w:rsidRDefault="00DA05DF" w:rsidP="00DA05DF">
            <w:pPr>
              <w:spacing w:after="0" w:line="240" w:lineRule="auto"/>
              <w:rPr>
                <w:rFonts w:eastAsia="Times New Roman" w:cs="Times New Roman"/>
                <w:color w:val="000000"/>
              </w:rPr>
            </w:pPr>
            <w:r w:rsidRPr="00160D14">
              <w:rPr>
                <w:rFonts w:eastAsia="Times New Roman" w:cs="Times New Roman"/>
                <w:color w:val="000000"/>
              </w:rPr>
              <w:t xml:space="preserve">State </w:t>
            </w:r>
          </w:p>
        </w:tc>
        <w:tc>
          <w:tcPr>
            <w:tcW w:w="2070" w:type="dxa"/>
            <w:tcBorders>
              <w:top w:val="nil"/>
              <w:left w:val="nil"/>
              <w:bottom w:val="nil"/>
              <w:right w:val="single" w:sz="8" w:space="0" w:color="auto"/>
            </w:tcBorders>
            <w:shd w:val="clear" w:color="auto" w:fill="auto"/>
            <w:noWrap/>
            <w:vAlign w:val="bottom"/>
            <w:hideMark/>
          </w:tcPr>
          <w:p w14:paraId="303132FE" w14:textId="77777777" w:rsidR="00DA05DF" w:rsidRPr="00160D14" w:rsidRDefault="00DA05DF" w:rsidP="00DA05DF">
            <w:pPr>
              <w:spacing w:after="0" w:line="240" w:lineRule="auto"/>
              <w:rPr>
                <w:rFonts w:eastAsia="Times New Roman" w:cs="Times New Roman"/>
                <w:color w:val="000000"/>
              </w:rPr>
            </w:pPr>
            <w:r w:rsidRPr="00160D14">
              <w:rPr>
                <w:rFonts w:eastAsia="Times New Roman" w:cs="Times New Roman"/>
                <w:color w:val="000000"/>
              </w:rPr>
              <w:t>Contribution</w:t>
            </w:r>
          </w:p>
        </w:tc>
      </w:tr>
      <w:tr w:rsidR="00DA05DF" w:rsidRPr="00DA05DF" w14:paraId="19EA4168" w14:textId="77777777" w:rsidTr="00160D14">
        <w:trPr>
          <w:cantSplit/>
          <w:trHeight w:val="20"/>
        </w:trPr>
        <w:tc>
          <w:tcPr>
            <w:tcW w:w="1213" w:type="dxa"/>
            <w:vMerge w:val="restart"/>
            <w:tcBorders>
              <w:top w:val="single" w:sz="8" w:space="0" w:color="auto"/>
              <w:left w:val="single" w:sz="8" w:space="0" w:color="auto"/>
              <w:bottom w:val="single" w:sz="8" w:space="0" w:color="000000"/>
              <w:right w:val="nil"/>
            </w:tcBorders>
            <w:shd w:val="clear" w:color="auto" w:fill="auto"/>
            <w:noWrap/>
            <w:textDirection w:val="btLr"/>
            <w:vAlign w:val="center"/>
            <w:hideMark/>
          </w:tcPr>
          <w:p w14:paraId="002181DE"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Acadia</w:t>
            </w:r>
          </w:p>
        </w:tc>
        <w:tc>
          <w:tcPr>
            <w:tcW w:w="1748" w:type="dxa"/>
            <w:tcBorders>
              <w:top w:val="single" w:sz="8" w:space="0" w:color="auto"/>
              <w:left w:val="nil"/>
              <w:bottom w:val="nil"/>
              <w:right w:val="nil"/>
            </w:tcBorders>
            <w:shd w:val="clear" w:color="auto" w:fill="auto"/>
            <w:noWrap/>
            <w:vAlign w:val="bottom"/>
            <w:hideMark/>
          </w:tcPr>
          <w:p w14:paraId="207FE144"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w:t>
            </w:r>
          </w:p>
        </w:tc>
        <w:tc>
          <w:tcPr>
            <w:tcW w:w="1539" w:type="dxa"/>
            <w:tcBorders>
              <w:top w:val="single" w:sz="8" w:space="0" w:color="auto"/>
              <w:left w:val="nil"/>
              <w:bottom w:val="nil"/>
              <w:right w:val="single" w:sz="8" w:space="0" w:color="auto"/>
            </w:tcBorders>
            <w:shd w:val="clear" w:color="auto" w:fill="auto"/>
            <w:noWrap/>
            <w:vAlign w:val="bottom"/>
            <w:hideMark/>
          </w:tcPr>
          <w:p w14:paraId="64F1A958"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0.091941355</w:t>
            </w:r>
          </w:p>
        </w:tc>
        <w:tc>
          <w:tcPr>
            <w:tcW w:w="1701" w:type="dxa"/>
            <w:vMerge w:val="restart"/>
            <w:tcBorders>
              <w:top w:val="single" w:sz="8" w:space="0" w:color="auto"/>
              <w:left w:val="single" w:sz="8" w:space="0" w:color="auto"/>
              <w:bottom w:val="single" w:sz="8" w:space="0" w:color="000000"/>
              <w:right w:val="nil"/>
            </w:tcBorders>
            <w:shd w:val="clear" w:color="auto" w:fill="auto"/>
            <w:noWrap/>
            <w:textDirection w:val="btLr"/>
            <w:vAlign w:val="center"/>
            <w:hideMark/>
          </w:tcPr>
          <w:p w14:paraId="25FA93AD"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Acadia</w:t>
            </w:r>
          </w:p>
        </w:tc>
        <w:tc>
          <w:tcPr>
            <w:tcW w:w="1710" w:type="dxa"/>
            <w:tcBorders>
              <w:top w:val="single" w:sz="8" w:space="0" w:color="auto"/>
              <w:left w:val="nil"/>
              <w:bottom w:val="nil"/>
              <w:right w:val="nil"/>
            </w:tcBorders>
            <w:shd w:val="clear" w:color="auto" w:fill="auto"/>
            <w:noWrap/>
            <w:vAlign w:val="bottom"/>
            <w:hideMark/>
          </w:tcPr>
          <w:p w14:paraId="19000D3F"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Ohio</w:t>
            </w:r>
          </w:p>
        </w:tc>
        <w:tc>
          <w:tcPr>
            <w:tcW w:w="2070" w:type="dxa"/>
            <w:tcBorders>
              <w:top w:val="single" w:sz="8" w:space="0" w:color="auto"/>
              <w:left w:val="nil"/>
              <w:bottom w:val="nil"/>
              <w:right w:val="single" w:sz="8" w:space="0" w:color="auto"/>
            </w:tcBorders>
            <w:shd w:val="clear" w:color="auto" w:fill="auto"/>
            <w:noWrap/>
            <w:vAlign w:val="bottom"/>
            <w:hideMark/>
          </w:tcPr>
          <w:p w14:paraId="3208E29C"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0.110722</w:t>
            </w:r>
          </w:p>
        </w:tc>
      </w:tr>
      <w:tr w:rsidR="00DA05DF" w:rsidRPr="00DA05DF" w14:paraId="33B303DB" w14:textId="77777777" w:rsidTr="00160D14">
        <w:trPr>
          <w:cantSplit/>
          <w:trHeight w:val="20"/>
        </w:trPr>
        <w:tc>
          <w:tcPr>
            <w:tcW w:w="1213" w:type="dxa"/>
            <w:vMerge/>
            <w:tcBorders>
              <w:top w:val="single" w:sz="8" w:space="0" w:color="auto"/>
              <w:left w:val="single" w:sz="8" w:space="0" w:color="auto"/>
              <w:bottom w:val="single" w:sz="8" w:space="0" w:color="000000"/>
              <w:right w:val="nil"/>
            </w:tcBorders>
            <w:vAlign w:val="center"/>
            <w:hideMark/>
          </w:tcPr>
          <w:p w14:paraId="4ADBF83D"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auto" w:fill="auto"/>
            <w:noWrap/>
            <w:vAlign w:val="bottom"/>
            <w:hideMark/>
          </w:tcPr>
          <w:p w14:paraId="73CF249B"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PA</w:t>
            </w:r>
          </w:p>
        </w:tc>
        <w:tc>
          <w:tcPr>
            <w:tcW w:w="1539" w:type="dxa"/>
            <w:tcBorders>
              <w:top w:val="nil"/>
              <w:left w:val="nil"/>
              <w:bottom w:val="nil"/>
              <w:right w:val="single" w:sz="8" w:space="0" w:color="auto"/>
            </w:tcBorders>
            <w:shd w:val="clear" w:color="auto" w:fill="auto"/>
            <w:noWrap/>
            <w:vAlign w:val="bottom"/>
            <w:hideMark/>
          </w:tcPr>
          <w:p w14:paraId="6CBC5673"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0.065000429</w:t>
            </w:r>
          </w:p>
        </w:tc>
        <w:tc>
          <w:tcPr>
            <w:tcW w:w="1701" w:type="dxa"/>
            <w:vMerge/>
            <w:tcBorders>
              <w:top w:val="single" w:sz="8" w:space="0" w:color="auto"/>
              <w:left w:val="single" w:sz="8" w:space="0" w:color="auto"/>
              <w:bottom w:val="single" w:sz="8" w:space="0" w:color="000000"/>
              <w:right w:val="nil"/>
            </w:tcBorders>
            <w:vAlign w:val="center"/>
            <w:hideMark/>
          </w:tcPr>
          <w:p w14:paraId="104D7BA2"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auto"/>
            <w:noWrap/>
            <w:vAlign w:val="bottom"/>
            <w:hideMark/>
          </w:tcPr>
          <w:p w14:paraId="078CA117"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Pennsylvania</w:t>
            </w:r>
          </w:p>
        </w:tc>
        <w:tc>
          <w:tcPr>
            <w:tcW w:w="2070" w:type="dxa"/>
            <w:tcBorders>
              <w:top w:val="nil"/>
              <w:left w:val="nil"/>
              <w:bottom w:val="nil"/>
              <w:right w:val="single" w:sz="8" w:space="0" w:color="auto"/>
            </w:tcBorders>
            <w:shd w:val="clear" w:color="auto" w:fill="auto"/>
            <w:noWrap/>
            <w:vAlign w:val="bottom"/>
            <w:hideMark/>
          </w:tcPr>
          <w:p w14:paraId="390C9B6A"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0.076393</w:t>
            </w:r>
          </w:p>
        </w:tc>
      </w:tr>
      <w:tr w:rsidR="00DA05DF" w:rsidRPr="00DA05DF" w14:paraId="7A21DDC3" w14:textId="77777777" w:rsidTr="00160D14">
        <w:trPr>
          <w:cantSplit/>
          <w:trHeight w:val="20"/>
        </w:trPr>
        <w:tc>
          <w:tcPr>
            <w:tcW w:w="1213" w:type="dxa"/>
            <w:vMerge/>
            <w:tcBorders>
              <w:top w:val="single" w:sz="8" w:space="0" w:color="auto"/>
              <w:left w:val="single" w:sz="8" w:space="0" w:color="auto"/>
              <w:bottom w:val="single" w:sz="8" w:space="0" w:color="000000"/>
              <w:right w:val="nil"/>
            </w:tcBorders>
            <w:vAlign w:val="center"/>
            <w:hideMark/>
          </w:tcPr>
          <w:p w14:paraId="75A7B3EF"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auto" w:fill="auto"/>
            <w:noWrap/>
            <w:vAlign w:val="bottom"/>
            <w:hideMark/>
          </w:tcPr>
          <w:p w14:paraId="3DAECDB0"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w:t>
            </w:r>
          </w:p>
        </w:tc>
        <w:tc>
          <w:tcPr>
            <w:tcW w:w="1539" w:type="dxa"/>
            <w:tcBorders>
              <w:top w:val="nil"/>
              <w:left w:val="nil"/>
              <w:bottom w:val="nil"/>
              <w:right w:val="single" w:sz="8" w:space="0" w:color="auto"/>
            </w:tcBorders>
            <w:shd w:val="clear" w:color="auto" w:fill="auto"/>
            <w:noWrap/>
            <w:vAlign w:val="bottom"/>
            <w:hideMark/>
          </w:tcPr>
          <w:p w14:paraId="7615A822"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0.050261661</w:t>
            </w:r>
          </w:p>
        </w:tc>
        <w:tc>
          <w:tcPr>
            <w:tcW w:w="1701" w:type="dxa"/>
            <w:vMerge/>
            <w:tcBorders>
              <w:top w:val="single" w:sz="8" w:space="0" w:color="auto"/>
              <w:left w:val="single" w:sz="8" w:space="0" w:color="auto"/>
              <w:bottom w:val="single" w:sz="8" w:space="0" w:color="000000"/>
              <w:right w:val="nil"/>
            </w:tcBorders>
            <w:vAlign w:val="center"/>
            <w:hideMark/>
          </w:tcPr>
          <w:p w14:paraId="37E02054"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auto"/>
            <w:noWrap/>
            <w:vAlign w:val="bottom"/>
            <w:hideMark/>
          </w:tcPr>
          <w:p w14:paraId="2C4519A6"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Indiana</w:t>
            </w:r>
          </w:p>
        </w:tc>
        <w:tc>
          <w:tcPr>
            <w:tcW w:w="2070" w:type="dxa"/>
            <w:tcBorders>
              <w:top w:val="nil"/>
              <w:left w:val="nil"/>
              <w:bottom w:val="nil"/>
              <w:right w:val="single" w:sz="8" w:space="0" w:color="auto"/>
            </w:tcBorders>
            <w:shd w:val="clear" w:color="auto" w:fill="auto"/>
            <w:noWrap/>
            <w:vAlign w:val="bottom"/>
            <w:hideMark/>
          </w:tcPr>
          <w:p w14:paraId="71F5B4B1"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0.056531</w:t>
            </w:r>
          </w:p>
        </w:tc>
      </w:tr>
      <w:tr w:rsidR="00DA05DF" w:rsidRPr="00DA05DF" w14:paraId="1B850D58" w14:textId="77777777" w:rsidTr="00160D14">
        <w:trPr>
          <w:cantSplit/>
          <w:trHeight w:val="20"/>
        </w:trPr>
        <w:tc>
          <w:tcPr>
            <w:tcW w:w="1213" w:type="dxa"/>
            <w:vMerge/>
            <w:tcBorders>
              <w:top w:val="single" w:sz="8" w:space="0" w:color="auto"/>
              <w:left w:val="single" w:sz="8" w:space="0" w:color="auto"/>
              <w:bottom w:val="single" w:sz="8" w:space="0" w:color="000000"/>
              <w:right w:val="nil"/>
            </w:tcBorders>
            <w:vAlign w:val="center"/>
            <w:hideMark/>
          </w:tcPr>
          <w:p w14:paraId="00457E9A"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auto" w:fill="auto"/>
            <w:noWrap/>
            <w:vAlign w:val="bottom"/>
            <w:hideMark/>
          </w:tcPr>
          <w:p w14:paraId="051677B2"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MI</w:t>
            </w:r>
          </w:p>
        </w:tc>
        <w:tc>
          <w:tcPr>
            <w:tcW w:w="1539" w:type="dxa"/>
            <w:tcBorders>
              <w:top w:val="nil"/>
              <w:left w:val="nil"/>
              <w:bottom w:val="nil"/>
              <w:right w:val="single" w:sz="8" w:space="0" w:color="auto"/>
            </w:tcBorders>
            <w:shd w:val="clear" w:color="auto" w:fill="auto"/>
            <w:noWrap/>
            <w:vAlign w:val="bottom"/>
            <w:hideMark/>
          </w:tcPr>
          <w:p w14:paraId="49FA9F69"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0.042254566</w:t>
            </w:r>
          </w:p>
        </w:tc>
        <w:tc>
          <w:tcPr>
            <w:tcW w:w="1701" w:type="dxa"/>
            <w:vMerge/>
            <w:tcBorders>
              <w:top w:val="single" w:sz="8" w:space="0" w:color="auto"/>
              <w:left w:val="single" w:sz="8" w:space="0" w:color="auto"/>
              <w:bottom w:val="single" w:sz="8" w:space="0" w:color="000000"/>
              <w:right w:val="nil"/>
            </w:tcBorders>
            <w:vAlign w:val="center"/>
            <w:hideMark/>
          </w:tcPr>
          <w:p w14:paraId="2EC26CC0"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auto"/>
            <w:noWrap/>
            <w:vAlign w:val="bottom"/>
            <w:hideMark/>
          </w:tcPr>
          <w:p w14:paraId="73D2E122"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Michigan</w:t>
            </w:r>
          </w:p>
        </w:tc>
        <w:tc>
          <w:tcPr>
            <w:tcW w:w="2070" w:type="dxa"/>
            <w:tcBorders>
              <w:top w:val="nil"/>
              <w:left w:val="nil"/>
              <w:bottom w:val="nil"/>
              <w:right w:val="single" w:sz="8" w:space="0" w:color="auto"/>
            </w:tcBorders>
            <w:shd w:val="clear" w:color="auto" w:fill="auto"/>
            <w:noWrap/>
            <w:vAlign w:val="bottom"/>
            <w:hideMark/>
          </w:tcPr>
          <w:p w14:paraId="7C13B7F4"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0.043586</w:t>
            </w:r>
          </w:p>
        </w:tc>
      </w:tr>
      <w:tr w:rsidR="00DA05DF" w:rsidRPr="00DA05DF" w14:paraId="06D010BF" w14:textId="77777777" w:rsidTr="00160D14">
        <w:trPr>
          <w:cantSplit/>
          <w:trHeight w:val="20"/>
        </w:trPr>
        <w:tc>
          <w:tcPr>
            <w:tcW w:w="1213" w:type="dxa"/>
            <w:vMerge/>
            <w:tcBorders>
              <w:top w:val="single" w:sz="8" w:space="0" w:color="auto"/>
              <w:left w:val="single" w:sz="8" w:space="0" w:color="auto"/>
              <w:bottom w:val="single" w:sz="8" w:space="0" w:color="000000"/>
              <w:right w:val="nil"/>
            </w:tcBorders>
            <w:vAlign w:val="center"/>
            <w:hideMark/>
          </w:tcPr>
          <w:p w14:paraId="5A5DACA1"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single" w:sz="8" w:space="0" w:color="auto"/>
              <w:right w:val="nil"/>
            </w:tcBorders>
            <w:shd w:val="clear" w:color="auto" w:fill="auto"/>
            <w:noWrap/>
            <w:vAlign w:val="bottom"/>
            <w:hideMark/>
          </w:tcPr>
          <w:p w14:paraId="56B47727"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IL</w:t>
            </w:r>
          </w:p>
        </w:tc>
        <w:tc>
          <w:tcPr>
            <w:tcW w:w="1539" w:type="dxa"/>
            <w:tcBorders>
              <w:top w:val="nil"/>
              <w:left w:val="nil"/>
              <w:bottom w:val="single" w:sz="8" w:space="0" w:color="auto"/>
              <w:right w:val="single" w:sz="8" w:space="0" w:color="auto"/>
            </w:tcBorders>
            <w:shd w:val="clear" w:color="auto" w:fill="auto"/>
            <w:noWrap/>
            <w:vAlign w:val="bottom"/>
            <w:hideMark/>
          </w:tcPr>
          <w:p w14:paraId="644BE4C3"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0.031767801</w:t>
            </w:r>
          </w:p>
        </w:tc>
        <w:tc>
          <w:tcPr>
            <w:tcW w:w="1701" w:type="dxa"/>
            <w:vMerge/>
            <w:tcBorders>
              <w:top w:val="single" w:sz="8" w:space="0" w:color="auto"/>
              <w:left w:val="single" w:sz="8" w:space="0" w:color="auto"/>
              <w:bottom w:val="single" w:sz="8" w:space="0" w:color="000000"/>
              <w:right w:val="nil"/>
            </w:tcBorders>
            <w:vAlign w:val="center"/>
            <w:hideMark/>
          </w:tcPr>
          <w:p w14:paraId="4E9405A0"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single" w:sz="8" w:space="0" w:color="auto"/>
              <w:right w:val="nil"/>
            </w:tcBorders>
            <w:shd w:val="clear" w:color="auto" w:fill="auto"/>
            <w:noWrap/>
            <w:vAlign w:val="bottom"/>
            <w:hideMark/>
          </w:tcPr>
          <w:p w14:paraId="1FA89D79"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Illinois</w:t>
            </w:r>
          </w:p>
        </w:tc>
        <w:tc>
          <w:tcPr>
            <w:tcW w:w="2070" w:type="dxa"/>
            <w:tcBorders>
              <w:top w:val="nil"/>
              <w:left w:val="nil"/>
              <w:bottom w:val="single" w:sz="8" w:space="0" w:color="auto"/>
              <w:right w:val="single" w:sz="8" w:space="0" w:color="auto"/>
            </w:tcBorders>
            <w:shd w:val="clear" w:color="auto" w:fill="auto"/>
            <w:noWrap/>
            <w:vAlign w:val="bottom"/>
            <w:hideMark/>
          </w:tcPr>
          <w:p w14:paraId="22ADF656"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0.035447</w:t>
            </w:r>
          </w:p>
        </w:tc>
      </w:tr>
      <w:tr w:rsidR="00DA05DF" w:rsidRPr="00DA05DF" w14:paraId="1C57D151" w14:textId="77777777" w:rsidTr="00160D14">
        <w:trPr>
          <w:cantSplit/>
          <w:trHeight w:val="20"/>
        </w:trPr>
        <w:tc>
          <w:tcPr>
            <w:tcW w:w="1213"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771F1825"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Brigantine</w:t>
            </w:r>
          </w:p>
        </w:tc>
        <w:tc>
          <w:tcPr>
            <w:tcW w:w="1748" w:type="dxa"/>
            <w:tcBorders>
              <w:top w:val="nil"/>
              <w:left w:val="nil"/>
              <w:bottom w:val="nil"/>
              <w:right w:val="nil"/>
            </w:tcBorders>
            <w:shd w:val="clear" w:color="000000" w:fill="FCE4D6"/>
            <w:noWrap/>
            <w:vAlign w:val="bottom"/>
            <w:hideMark/>
          </w:tcPr>
          <w:p w14:paraId="7EEE3C72"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w:t>
            </w:r>
          </w:p>
        </w:tc>
        <w:tc>
          <w:tcPr>
            <w:tcW w:w="1539" w:type="dxa"/>
            <w:tcBorders>
              <w:top w:val="nil"/>
              <w:left w:val="nil"/>
              <w:bottom w:val="nil"/>
              <w:right w:val="single" w:sz="8" w:space="0" w:color="auto"/>
            </w:tcBorders>
            <w:shd w:val="clear" w:color="auto" w:fill="auto"/>
            <w:noWrap/>
            <w:vAlign w:val="bottom"/>
            <w:hideMark/>
          </w:tcPr>
          <w:p w14:paraId="1491EF1B"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0.143782214</w:t>
            </w:r>
          </w:p>
        </w:tc>
        <w:tc>
          <w:tcPr>
            <w:tcW w:w="1701"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D8EA4DE"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Brigantine</w:t>
            </w:r>
          </w:p>
        </w:tc>
        <w:tc>
          <w:tcPr>
            <w:tcW w:w="1710" w:type="dxa"/>
            <w:tcBorders>
              <w:top w:val="nil"/>
              <w:left w:val="nil"/>
              <w:bottom w:val="nil"/>
              <w:right w:val="nil"/>
            </w:tcBorders>
            <w:shd w:val="clear" w:color="000000" w:fill="FCE4D6"/>
            <w:noWrap/>
            <w:vAlign w:val="bottom"/>
            <w:hideMark/>
          </w:tcPr>
          <w:p w14:paraId="2457AC1F"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Pennsylvania</w:t>
            </w:r>
          </w:p>
        </w:tc>
        <w:tc>
          <w:tcPr>
            <w:tcW w:w="2070" w:type="dxa"/>
            <w:tcBorders>
              <w:top w:val="nil"/>
              <w:left w:val="nil"/>
              <w:bottom w:val="nil"/>
              <w:right w:val="single" w:sz="8" w:space="0" w:color="auto"/>
            </w:tcBorders>
            <w:shd w:val="clear" w:color="auto" w:fill="auto"/>
            <w:noWrap/>
            <w:vAlign w:val="bottom"/>
            <w:hideMark/>
          </w:tcPr>
          <w:p w14:paraId="5272E213"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0.144185</w:t>
            </w:r>
          </w:p>
        </w:tc>
      </w:tr>
      <w:tr w:rsidR="00DA05DF" w:rsidRPr="00DA05DF" w14:paraId="5EE031B1"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7005BECE"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000000" w:fill="FCE4D6"/>
            <w:noWrap/>
            <w:vAlign w:val="bottom"/>
            <w:hideMark/>
          </w:tcPr>
          <w:p w14:paraId="2775CF63"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PA</w:t>
            </w:r>
          </w:p>
        </w:tc>
        <w:tc>
          <w:tcPr>
            <w:tcW w:w="1539" w:type="dxa"/>
            <w:tcBorders>
              <w:top w:val="nil"/>
              <w:left w:val="nil"/>
              <w:bottom w:val="nil"/>
              <w:right w:val="single" w:sz="8" w:space="0" w:color="auto"/>
            </w:tcBorders>
            <w:shd w:val="clear" w:color="auto" w:fill="auto"/>
            <w:noWrap/>
            <w:vAlign w:val="bottom"/>
            <w:hideMark/>
          </w:tcPr>
          <w:p w14:paraId="6DA1C7D4"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0.127168402</w:t>
            </w:r>
          </w:p>
        </w:tc>
        <w:tc>
          <w:tcPr>
            <w:tcW w:w="1701" w:type="dxa"/>
            <w:vMerge/>
            <w:tcBorders>
              <w:top w:val="nil"/>
              <w:left w:val="single" w:sz="8" w:space="0" w:color="auto"/>
              <w:bottom w:val="single" w:sz="8" w:space="0" w:color="000000"/>
              <w:right w:val="nil"/>
            </w:tcBorders>
            <w:vAlign w:val="center"/>
            <w:hideMark/>
          </w:tcPr>
          <w:p w14:paraId="727BF910"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000000" w:fill="FCE4D6"/>
            <w:noWrap/>
            <w:vAlign w:val="bottom"/>
            <w:hideMark/>
          </w:tcPr>
          <w:p w14:paraId="190ECE21"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Ohio</w:t>
            </w:r>
          </w:p>
        </w:tc>
        <w:tc>
          <w:tcPr>
            <w:tcW w:w="2070" w:type="dxa"/>
            <w:tcBorders>
              <w:top w:val="nil"/>
              <w:left w:val="nil"/>
              <w:bottom w:val="nil"/>
              <w:right w:val="single" w:sz="8" w:space="0" w:color="auto"/>
            </w:tcBorders>
            <w:shd w:val="clear" w:color="auto" w:fill="auto"/>
            <w:noWrap/>
            <w:vAlign w:val="bottom"/>
            <w:hideMark/>
          </w:tcPr>
          <w:p w14:paraId="68069071"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0.122695</w:t>
            </w:r>
          </w:p>
        </w:tc>
      </w:tr>
      <w:tr w:rsidR="00DA05DF" w:rsidRPr="00DA05DF" w14:paraId="4D4529A8"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59DF29B1"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000000" w:fill="FCE4D6"/>
            <w:noWrap/>
            <w:vAlign w:val="bottom"/>
            <w:hideMark/>
          </w:tcPr>
          <w:p w14:paraId="614F55B2"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w:t>
            </w:r>
          </w:p>
        </w:tc>
        <w:tc>
          <w:tcPr>
            <w:tcW w:w="1539" w:type="dxa"/>
            <w:tcBorders>
              <w:top w:val="nil"/>
              <w:left w:val="nil"/>
              <w:bottom w:val="nil"/>
              <w:right w:val="single" w:sz="8" w:space="0" w:color="auto"/>
            </w:tcBorders>
            <w:shd w:val="clear" w:color="auto" w:fill="auto"/>
            <w:noWrap/>
            <w:vAlign w:val="bottom"/>
            <w:hideMark/>
          </w:tcPr>
          <w:p w14:paraId="3B978B2B"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0.060995943</w:t>
            </w:r>
          </w:p>
        </w:tc>
        <w:tc>
          <w:tcPr>
            <w:tcW w:w="1701" w:type="dxa"/>
            <w:vMerge/>
            <w:tcBorders>
              <w:top w:val="nil"/>
              <w:left w:val="single" w:sz="8" w:space="0" w:color="auto"/>
              <w:bottom w:val="single" w:sz="8" w:space="0" w:color="000000"/>
              <w:right w:val="nil"/>
            </w:tcBorders>
            <w:vAlign w:val="center"/>
            <w:hideMark/>
          </w:tcPr>
          <w:p w14:paraId="3FC2D3FA"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000000" w:fill="FCE4D6"/>
            <w:noWrap/>
            <w:vAlign w:val="bottom"/>
            <w:hideMark/>
          </w:tcPr>
          <w:p w14:paraId="304AF21E"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Maryland</w:t>
            </w:r>
          </w:p>
        </w:tc>
        <w:tc>
          <w:tcPr>
            <w:tcW w:w="2070" w:type="dxa"/>
            <w:tcBorders>
              <w:top w:val="nil"/>
              <w:left w:val="nil"/>
              <w:bottom w:val="nil"/>
              <w:right w:val="single" w:sz="8" w:space="0" w:color="auto"/>
            </w:tcBorders>
            <w:shd w:val="clear" w:color="auto" w:fill="auto"/>
            <w:noWrap/>
            <w:vAlign w:val="bottom"/>
            <w:hideMark/>
          </w:tcPr>
          <w:p w14:paraId="463729A3"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0.062602</w:t>
            </w:r>
          </w:p>
        </w:tc>
      </w:tr>
      <w:tr w:rsidR="00DA05DF" w:rsidRPr="00DA05DF" w14:paraId="6473107A"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715BEAE5"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000000" w:fill="FCE4D6"/>
            <w:noWrap/>
            <w:vAlign w:val="bottom"/>
            <w:hideMark/>
          </w:tcPr>
          <w:p w14:paraId="6E4F3D5D"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KY</w:t>
            </w:r>
          </w:p>
        </w:tc>
        <w:tc>
          <w:tcPr>
            <w:tcW w:w="1539" w:type="dxa"/>
            <w:tcBorders>
              <w:top w:val="nil"/>
              <w:left w:val="nil"/>
              <w:bottom w:val="nil"/>
              <w:right w:val="single" w:sz="8" w:space="0" w:color="auto"/>
            </w:tcBorders>
            <w:shd w:val="clear" w:color="auto" w:fill="auto"/>
            <w:noWrap/>
            <w:vAlign w:val="bottom"/>
            <w:hideMark/>
          </w:tcPr>
          <w:p w14:paraId="70F20175"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0.048691472</w:t>
            </w:r>
          </w:p>
        </w:tc>
        <w:tc>
          <w:tcPr>
            <w:tcW w:w="1701" w:type="dxa"/>
            <w:vMerge/>
            <w:tcBorders>
              <w:top w:val="nil"/>
              <w:left w:val="single" w:sz="8" w:space="0" w:color="auto"/>
              <w:bottom w:val="single" w:sz="8" w:space="0" w:color="000000"/>
              <w:right w:val="nil"/>
            </w:tcBorders>
            <w:vAlign w:val="center"/>
            <w:hideMark/>
          </w:tcPr>
          <w:p w14:paraId="0F2EDC45"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000000" w:fill="FCE4D6"/>
            <w:noWrap/>
            <w:vAlign w:val="bottom"/>
            <w:hideMark/>
          </w:tcPr>
          <w:p w14:paraId="13C4F2CC"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Indiana</w:t>
            </w:r>
          </w:p>
        </w:tc>
        <w:tc>
          <w:tcPr>
            <w:tcW w:w="2070" w:type="dxa"/>
            <w:tcBorders>
              <w:top w:val="nil"/>
              <w:left w:val="nil"/>
              <w:bottom w:val="nil"/>
              <w:right w:val="single" w:sz="8" w:space="0" w:color="auto"/>
            </w:tcBorders>
            <w:shd w:val="clear" w:color="auto" w:fill="auto"/>
            <w:noWrap/>
            <w:vAlign w:val="bottom"/>
            <w:hideMark/>
          </w:tcPr>
          <w:p w14:paraId="05A34AA3"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0.054433</w:t>
            </w:r>
          </w:p>
        </w:tc>
      </w:tr>
      <w:tr w:rsidR="00DA05DF" w:rsidRPr="00DA05DF" w14:paraId="39FE0E85"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2D4BFA2E"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single" w:sz="8" w:space="0" w:color="auto"/>
              <w:right w:val="nil"/>
            </w:tcBorders>
            <w:shd w:val="clear" w:color="000000" w:fill="FCE4D6"/>
            <w:noWrap/>
            <w:vAlign w:val="bottom"/>
            <w:hideMark/>
          </w:tcPr>
          <w:p w14:paraId="56C972BA"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TX</w:t>
            </w:r>
          </w:p>
        </w:tc>
        <w:tc>
          <w:tcPr>
            <w:tcW w:w="1539" w:type="dxa"/>
            <w:tcBorders>
              <w:top w:val="nil"/>
              <w:left w:val="nil"/>
              <w:bottom w:val="single" w:sz="8" w:space="0" w:color="auto"/>
              <w:right w:val="single" w:sz="8" w:space="0" w:color="auto"/>
            </w:tcBorders>
            <w:shd w:val="clear" w:color="auto" w:fill="auto"/>
            <w:noWrap/>
            <w:vAlign w:val="bottom"/>
            <w:hideMark/>
          </w:tcPr>
          <w:p w14:paraId="0943365F"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0.03855251</w:t>
            </w:r>
          </w:p>
        </w:tc>
        <w:tc>
          <w:tcPr>
            <w:tcW w:w="1701" w:type="dxa"/>
            <w:vMerge/>
            <w:tcBorders>
              <w:top w:val="nil"/>
              <w:left w:val="single" w:sz="8" w:space="0" w:color="auto"/>
              <w:bottom w:val="single" w:sz="8" w:space="0" w:color="000000"/>
              <w:right w:val="nil"/>
            </w:tcBorders>
            <w:vAlign w:val="center"/>
            <w:hideMark/>
          </w:tcPr>
          <w:p w14:paraId="72898418"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single" w:sz="8" w:space="0" w:color="auto"/>
              <w:right w:val="nil"/>
            </w:tcBorders>
            <w:shd w:val="clear" w:color="000000" w:fill="FCE4D6"/>
            <w:noWrap/>
            <w:vAlign w:val="bottom"/>
            <w:hideMark/>
          </w:tcPr>
          <w:p w14:paraId="209D85A8"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Kentucky</w:t>
            </w:r>
          </w:p>
        </w:tc>
        <w:tc>
          <w:tcPr>
            <w:tcW w:w="2070" w:type="dxa"/>
            <w:tcBorders>
              <w:top w:val="nil"/>
              <w:left w:val="nil"/>
              <w:bottom w:val="single" w:sz="8" w:space="0" w:color="auto"/>
              <w:right w:val="single" w:sz="8" w:space="0" w:color="auto"/>
            </w:tcBorders>
            <w:shd w:val="clear" w:color="auto" w:fill="auto"/>
            <w:noWrap/>
            <w:vAlign w:val="bottom"/>
            <w:hideMark/>
          </w:tcPr>
          <w:p w14:paraId="561D381A"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0.051057</w:t>
            </w:r>
          </w:p>
        </w:tc>
      </w:tr>
      <w:tr w:rsidR="00DA05DF" w:rsidRPr="00DA05DF" w14:paraId="0C4D9565" w14:textId="77777777" w:rsidTr="00160D14">
        <w:trPr>
          <w:cantSplit/>
          <w:trHeight w:val="20"/>
        </w:trPr>
        <w:tc>
          <w:tcPr>
            <w:tcW w:w="1213"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627FCC52"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Dolly Sods</w:t>
            </w:r>
          </w:p>
        </w:tc>
        <w:tc>
          <w:tcPr>
            <w:tcW w:w="1748" w:type="dxa"/>
            <w:tcBorders>
              <w:top w:val="nil"/>
              <w:left w:val="nil"/>
              <w:bottom w:val="nil"/>
              <w:right w:val="nil"/>
            </w:tcBorders>
            <w:shd w:val="clear" w:color="auto" w:fill="auto"/>
            <w:noWrap/>
            <w:vAlign w:val="bottom"/>
            <w:hideMark/>
          </w:tcPr>
          <w:p w14:paraId="5BCE54FB"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w:t>
            </w:r>
          </w:p>
        </w:tc>
        <w:tc>
          <w:tcPr>
            <w:tcW w:w="1539" w:type="dxa"/>
            <w:tcBorders>
              <w:top w:val="nil"/>
              <w:left w:val="nil"/>
              <w:bottom w:val="nil"/>
              <w:right w:val="single" w:sz="8" w:space="0" w:color="auto"/>
            </w:tcBorders>
            <w:shd w:val="clear" w:color="auto" w:fill="auto"/>
            <w:noWrap/>
            <w:vAlign w:val="bottom"/>
            <w:hideMark/>
          </w:tcPr>
          <w:p w14:paraId="159F104E"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0.304332742</w:t>
            </w:r>
          </w:p>
        </w:tc>
        <w:tc>
          <w:tcPr>
            <w:tcW w:w="1701"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2414220"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Dolly Sods</w:t>
            </w:r>
          </w:p>
        </w:tc>
        <w:tc>
          <w:tcPr>
            <w:tcW w:w="1710" w:type="dxa"/>
            <w:tcBorders>
              <w:top w:val="nil"/>
              <w:left w:val="nil"/>
              <w:bottom w:val="nil"/>
              <w:right w:val="nil"/>
            </w:tcBorders>
            <w:shd w:val="clear" w:color="auto" w:fill="auto"/>
            <w:noWrap/>
            <w:vAlign w:val="bottom"/>
            <w:hideMark/>
          </w:tcPr>
          <w:p w14:paraId="6C928B88"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Ohio</w:t>
            </w:r>
          </w:p>
        </w:tc>
        <w:tc>
          <w:tcPr>
            <w:tcW w:w="2070" w:type="dxa"/>
            <w:tcBorders>
              <w:top w:val="nil"/>
              <w:left w:val="nil"/>
              <w:bottom w:val="nil"/>
              <w:right w:val="single" w:sz="8" w:space="0" w:color="auto"/>
            </w:tcBorders>
            <w:shd w:val="clear" w:color="auto" w:fill="auto"/>
            <w:noWrap/>
            <w:vAlign w:val="bottom"/>
            <w:hideMark/>
          </w:tcPr>
          <w:p w14:paraId="4CFFCC4D"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0.285194</w:t>
            </w:r>
          </w:p>
        </w:tc>
      </w:tr>
      <w:tr w:rsidR="00DA05DF" w:rsidRPr="00DA05DF" w14:paraId="5EA5CD36"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1768FAFE"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000000" w:fill="FCE4D6"/>
            <w:noWrap/>
            <w:vAlign w:val="bottom"/>
            <w:hideMark/>
          </w:tcPr>
          <w:p w14:paraId="317197B3"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PA</w:t>
            </w:r>
          </w:p>
        </w:tc>
        <w:tc>
          <w:tcPr>
            <w:tcW w:w="1539" w:type="dxa"/>
            <w:tcBorders>
              <w:top w:val="nil"/>
              <w:left w:val="nil"/>
              <w:bottom w:val="nil"/>
              <w:right w:val="single" w:sz="8" w:space="0" w:color="auto"/>
            </w:tcBorders>
            <w:shd w:val="clear" w:color="auto" w:fill="auto"/>
            <w:noWrap/>
            <w:vAlign w:val="bottom"/>
            <w:hideMark/>
          </w:tcPr>
          <w:p w14:paraId="6DD5750F"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0.156460896</w:t>
            </w:r>
          </w:p>
        </w:tc>
        <w:tc>
          <w:tcPr>
            <w:tcW w:w="1701" w:type="dxa"/>
            <w:vMerge/>
            <w:tcBorders>
              <w:top w:val="nil"/>
              <w:left w:val="single" w:sz="8" w:space="0" w:color="auto"/>
              <w:bottom w:val="single" w:sz="8" w:space="0" w:color="000000"/>
              <w:right w:val="nil"/>
            </w:tcBorders>
            <w:vAlign w:val="center"/>
            <w:hideMark/>
          </w:tcPr>
          <w:p w14:paraId="30F8A1C8"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000000" w:fill="FCE4D6"/>
            <w:noWrap/>
            <w:vAlign w:val="bottom"/>
            <w:hideMark/>
          </w:tcPr>
          <w:p w14:paraId="4D634DB2"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West Virginia</w:t>
            </w:r>
          </w:p>
        </w:tc>
        <w:tc>
          <w:tcPr>
            <w:tcW w:w="2070" w:type="dxa"/>
            <w:tcBorders>
              <w:top w:val="nil"/>
              <w:left w:val="nil"/>
              <w:bottom w:val="nil"/>
              <w:right w:val="single" w:sz="8" w:space="0" w:color="auto"/>
            </w:tcBorders>
            <w:shd w:val="clear" w:color="auto" w:fill="auto"/>
            <w:noWrap/>
            <w:vAlign w:val="bottom"/>
            <w:hideMark/>
          </w:tcPr>
          <w:p w14:paraId="75A88FE9"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0.140909</w:t>
            </w:r>
          </w:p>
        </w:tc>
      </w:tr>
      <w:tr w:rsidR="00DA05DF" w:rsidRPr="00DA05DF" w14:paraId="5DFE226E"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19BE7C4B"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000000" w:fill="FCE4D6"/>
            <w:noWrap/>
            <w:vAlign w:val="bottom"/>
            <w:hideMark/>
          </w:tcPr>
          <w:p w14:paraId="3BB2FD66"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WV</w:t>
            </w:r>
          </w:p>
        </w:tc>
        <w:tc>
          <w:tcPr>
            <w:tcW w:w="1539" w:type="dxa"/>
            <w:tcBorders>
              <w:top w:val="nil"/>
              <w:left w:val="nil"/>
              <w:bottom w:val="nil"/>
              <w:right w:val="single" w:sz="8" w:space="0" w:color="auto"/>
            </w:tcBorders>
            <w:shd w:val="clear" w:color="auto" w:fill="auto"/>
            <w:noWrap/>
            <w:vAlign w:val="bottom"/>
            <w:hideMark/>
          </w:tcPr>
          <w:p w14:paraId="5CAFF5B7"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0.121920177</w:t>
            </w:r>
          </w:p>
        </w:tc>
        <w:tc>
          <w:tcPr>
            <w:tcW w:w="1701" w:type="dxa"/>
            <w:vMerge/>
            <w:tcBorders>
              <w:top w:val="nil"/>
              <w:left w:val="single" w:sz="8" w:space="0" w:color="auto"/>
              <w:bottom w:val="single" w:sz="8" w:space="0" w:color="000000"/>
              <w:right w:val="nil"/>
            </w:tcBorders>
            <w:vAlign w:val="center"/>
            <w:hideMark/>
          </w:tcPr>
          <w:p w14:paraId="65724824"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000000" w:fill="FCE4D6"/>
            <w:noWrap/>
            <w:vAlign w:val="bottom"/>
            <w:hideMark/>
          </w:tcPr>
          <w:p w14:paraId="6C468509"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Pennsylvania</w:t>
            </w:r>
          </w:p>
        </w:tc>
        <w:tc>
          <w:tcPr>
            <w:tcW w:w="2070" w:type="dxa"/>
            <w:tcBorders>
              <w:top w:val="nil"/>
              <w:left w:val="nil"/>
              <w:bottom w:val="nil"/>
              <w:right w:val="single" w:sz="8" w:space="0" w:color="auto"/>
            </w:tcBorders>
            <w:shd w:val="clear" w:color="auto" w:fill="auto"/>
            <w:noWrap/>
            <w:vAlign w:val="bottom"/>
            <w:hideMark/>
          </w:tcPr>
          <w:p w14:paraId="686AA30D"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0.13217</w:t>
            </w:r>
          </w:p>
        </w:tc>
      </w:tr>
      <w:tr w:rsidR="00DA05DF" w:rsidRPr="00DA05DF" w14:paraId="1EBDEBC7"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797BC7B3"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auto" w:fill="auto"/>
            <w:noWrap/>
            <w:vAlign w:val="bottom"/>
            <w:hideMark/>
          </w:tcPr>
          <w:p w14:paraId="1CA913E4"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w:t>
            </w:r>
          </w:p>
        </w:tc>
        <w:tc>
          <w:tcPr>
            <w:tcW w:w="1539" w:type="dxa"/>
            <w:tcBorders>
              <w:top w:val="nil"/>
              <w:left w:val="nil"/>
              <w:bottom w:val="nil"/>
              <w:right w:val="single" w:sz="8" w:space="0" w:color="auto"/>
            </w:tcBorders>
            <w:shd w:val="clear" w:color="auto" w:fill="auto"/>
            <w:noWrap/>
            <w:vAlign w:val="bottom"/>
            <w:hideMark/>
          </w:tcPr>
          <w:p w14:paraId="1D6CE108"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0.091857237</w:t>
            </w:r>
          </w:p>
        </w:tc>
        <w:tc>
          <w:tcPr>
            <w:tcW w:w="1701" w:type="dxa"/>
            <w:vMerge/>
            <w:tcBorders>
              <w:top w:val="nil"/>
              <w:left w:val="single" w:sz="8" w:space="0" w:color="auto"/>
              <w:bottom w:val="single" w:sz="8" w:space="0" w:color="000000"/>
              <w:right w:val="nil"/>
            </w:tcBorders>
            <w:vAlign w:val="center"/>
            <w:hideMark/>
          </w:tcPr>
          <w:p w14:paraId="7501A327"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auto"/>
            <w:noWrap/>
            <w:vAlign w:val="bottom"/>
            <w:hideMark/>
          </w:tcPr>
          <w:p w14:paraId="5ADD18A9"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Indiana</w:t>
            </w:r>
          </w:p>
        </w:tc>
        <w:tc>
          <w:tcPr>
            <w:tcW w:w="2070" w:type="dxa"/>
            <w:tcBorders>
              <w:top w:val="nil"/>
              <w:left w:val="nil"/>
              <w:bottom w:val="nil"/>
              <w:right w:val="single" w:sz="8" w:space="0" w:color="auto"/>
            </w:tcBorders>
            <w:shd w:val="clear" w:color="auto" w:fill="auto"/>
            <w:noWrap/>
            <w:vAlign w:val="bottom"/>
            <w:hideMark/>
          </w:tcPr>
          <w:p w14:paraId="6F07F138"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0.096535</w:t>
            </w:r>
          </w:p>
        </w:tc>
      </w:tr>
      <w:tr w:rsidR="00DA05DF" w:rsidRPr="00DA05DF" w14:paraId="220FAE10"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770B03A3"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single" w:sz="8" w:space="0" w:color="auto"/>
              <w:right w:val="nil"/>
            </w:tcBorders>
            <w:shd w:val="clear" w:color="auto" w:fill="auto"/>
            <w:noWrap/>
            <w:vAlign w:val="bottom"/>
            <w:hideMark/>
          </w:tcPr>
          <w:p w14:paraId="7C9775F4"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KY</w:t>
            </w:r>
          </w:p>
        </w:tc>
        <w:tc>
          <w:tcPr>
            <w:tcW w:w="1539" w:type="dxa"/>
            <w:tcBorders>
              <w:top w:val="nil"/>
              <w:left w:val="nil"/>
              <w:bottom w:val="single" w:sz="8" w:space="0" w:color="auto"/>
              <w:right w:val="single" w:sz="8" w:space="0" w:color="auto"/>
            </w:tcBorders>
            <w:shd w:val="clear" w:color="auto" w:fill="auto"/>
            <w:noWrap/>
            <w:vAlign w:val="bottom"/>
            <w:hideMark/>
          </w:tcPr>
          <w:p w14:paraId="599507A7"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0.069838976</w:t>
            </w:r>
          </w:p>
        </w:tc>
        <w:tc>
          <w:tcPr>
            <w:tcW w:w="1701" w:type="dxa"/>
            <w:vMerge/>
            <w:tcBorders>
              <w:top w:val="nil"/>
              <w:left w:val="single" w:sz="8" w:space="0" w:color="auto"/>
              <w:bottom w:val="single" w:sz="8" w:space="0" w:color="000000"/>
              <w:right w:val="nil"/>
            </w:tcBorders>
            <w:vAlign w:val="center"/>
            <w:hideMark/>
          </w:tcPr>
          <w:p w14:paraId="45536ECE"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single" w:sz="8" w:space="0" w:color="auto"/>
              <w:right w:val="nil"/>
            </w:tcBorders>
            <w:shd w:val="clear" w:color="auto" w:fill="auto"/>
            <w:noWrap/>
            <w:vAlign w:val="bottom"/>
            <w:hideMark/>
          </w:tcPr>
          <w:p w14:paraId="2CCEA636"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Kentucky</w:t>
            </w:r>
          </w:p>
        </w:tc>
        <w:tc>
          <w:tcPr>
            <w:tcW w:w="2070" w:type="dxa"/>
            <w:tcBorders>
              <w:top w:val="nil"/>
              <w:left w:val="nil"/>
              <w:bottom w:val="single" w:sz="8" w:space="0" w:color="auto"/>
              <w:right w:val="single" w:sz="8" w:space="0" w:color="auto"/>
            </w:tcBorders>
            <w:shd w:val="clear" w:color="auto" w:fill="auto"/>
            <w:noWrap/>
            <w:vAlign w:val="bottom"/>
            <w:hideMark/>
          </w:tcPr>
          <w:p w14:paraId="0ECB2323"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0.070214</w:t>
            </w:r>
          </w:p>
        </w:tc>
      </w:tr>
      <w:tr w:rsidR="00DA05DF" w:rsidRPr="00DA05DF" w14:paraId="7AEA156C" w14:textId="77777777" w:rsidTr="00160D14">
        <w:trPr>
          <w:cantSplit/>
          <w:trHeight w:val="20"/>
        </w:trPr>
        <w:tc>
          <w:tcPr>
            <w:tcW w:w="1213"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E956611"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Great Gulf</w:t>
            </w:r>
          </w:p>
        </w:tc>
        <w:tc>
          <w:tcPr>
            <w:tcW w:w="1748" w:type="dxa"/>
            <w:tcBorders>
              <w:top w:val="nil"/>
              <w:left w:val="nil"/>
              <w:bottom w:val="nil"/>
              <w:right w:val="nil"/>
            </w:tcBorders>
            <w:shd w:val="clear" w:color="auto" w:fill="auto"/>
            <w:noWrap/>
            <w:vAlign w:val="bottom"/>
            <w:hideMark/>
          </w:tcPr>
          <w:p w14:paraId="5479743D"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w:t>
            </w:r>
          </w:p>
        </w:tc>
        <w:tc>
          <w:tcPr>
            <w:tcW w:w="1539" w:type="dxa"/>
            <w:tcBorders>
              <w:top w:val="nil"/>
              <w:left w:val="nil"/>
              <w:bottom w:val="nil"/>
              <w:right w:val="single" w:sz="8" w:space="0" w:color="auto"/>
            </w:tcBorders>
            <w:shd w:val="clear" w:color="auto" w:fill="auto"/>
            <w:noWrap/>
            <w:vAlign w:val="bottom"/>
            <w:hideMark/>
          </w:tcPr>
          <w:p w14:paraId="526D2EBC"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0.073746721</w:t>
            </w:r>
          </w:p>
        </w:tc>
        <w:tc>
          <w:tcPr>
            <w:tcW w:w="1701"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1A6D5B0"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Great Gulf</w:t>
            </w:r>
          </w:p>
        </w:tc>
        <w:tc>
          <w:tcPr>
            <w:tcW w:w="1710" w:type="dxa"/>
            <w:tcBorders>
              <w:top w:val="nil"/>
              <w:left w:val="nil"/>
              <w:bottom w:val="nil"/>
              <w:right w:val="nil"/>
            </w:tcBorders>
            <w:shd w:val="clear" w:color="auto" w:fill="auto"/>
            <w:noWrap/>
            <w:vAlign w:val="bottom"/>
            <w:hideMark/>
          </w:tcPr>
          <w:p w14:paraId="3860904A"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Ohio</w:t>
            </w:r>
          </w:p>
        </w:tc>
        <w:tc>
          <w:tcPr>
            <w:tcW w:w="2070" w:type="dxa"/>
            <w:tcBorders>
              <w:top w:val="nil"/>
              <w:left w:val="nil"/>
              <w:bottom w:val="nil"/>
              <w:right w:val="single" w:sz="8" w:space="0" w:color="auto"/>
            </w:tcBorders>
            <w:shd w:val="clear" w:color="auto" w:fill="auto"/>
            <w:noWrap/>
            <w:vAlign w:val="bottom"/>
            <w:hideMark/>
          </w:tcPr>
          <w:p w14:paraId="6B8C2811"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0.097926</w:t>
            </w:r>
          </w:p>
        </w:tc>
      </w:tr>
      <w:tr w:rsidR="00DA05DF" w:rsidRPr="00DA05DF" w14:paraId="3BE02F5F"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0144DD2E"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auto" w:fill="auto"/>
            <w:noWrap/>
            <w:vAlign w:val="bottom"/>
            <w:hideMark/>
          </w:tcPr>
          <w:p w14:paraId="49E5D473"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PA</w:t>
            </w:r>
          </w:p>
        </w:tc>
        <w:tc>
          <w:tcPr>
            <w:tcW w:w="1539" w:type="dxa"/>
            <w:tcBorders>
              <w:top w:val="nil"/>
              <w:left w:val="nil"/>
              <w:bottom w:val="nil"/>
              <w:right w:val="single" w:sz="8" w:space="0" w:color="auto"/>
            </w:tcBorders>
            <w:shd w:val="clear" w:color="auto" w:fill="auto"/>
            <w:noWrap/>
            <w:vAlign w:val="bottom"/>
            <w:hideMark/>
          </w:tcPr>
          <w:p w14:paraId="11141619"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0.052415185</w:t>
            </w:r>
          </w:p>
        </w:tc>
        <w:tc>
          <w:tcPr>
            <w:tcW w:w="1701" w:type="dxa"/>
            <w:vMerge/>
            <w:tcBorders>
              <w:top w:val="nil"/>
              <w:left w:val="single" w:sz="8" w:space="0" w:color="auto"/>
              <w:bottom w:val="single" w:sz="8" w:space="0" w:color="000000"/>
              <w:right w:val="nil"/>
            </w:tcBorders>
            <w:vAlign w:val="center"/>
            <w:hideMark/>
          </w:tcPr>
          <w:p w14:paraId="4AA0859D"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auto"/>
            <w:noWrap/>
            <w:vAlign w:val="bottom"/>
            <w:hideMark/>
          </w:tcPr>
          <w:p w14:paraId="0B32AB49"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Pennsylvania</w:t>
            </w:r>
          </w:p>
        </w:tc>
        <w:tc>
          <w:tcPr>
            <w:tcW w:w="2070" w:type="dxa"/>
            <w:tcBorders>
              <w:top w:val="nil"/>
              <w:left w:val="nil"/>
              <w:bottom w:val="nil"/>
              <w:right w:val="single" w:sz="8" w:space="0" w:color="auto"/>
            </w:tcBorders>
            <w:shd w:val="clear" w:color="auto" w:fill="auto"/>
            <w:noWrap/>
            <w:vAlign w:val="bottom"/>
            <w:hideMark/>
          </w:tcPr>
          <w:p w14:paraId="31E1BB6E"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0.062172</w:t>
            </w:r>
          </w:p>
        </w:tc>
      </w:tr>
      <w:tr w:rsidR="00DA05DF" w:rsidRPr="00DA05DF" w14:paraId="588DE54A"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22862322"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auto" w:fill="auto"/>
            <w:noWrap/>
            <w:vAlign w:val="bottom"/>
            <w:hideMark/>
          </w:tcPr>
          <w:p w14:paraId="0EFE9E1B"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w:t>
            </w:r>
          </w:p>
        </w:tc>
        <w:tc>
          <w:tcPr>
            <w:tcW w:w="1539" w:type="dxa"/>
            <w:tcBorders>
              <w:top w:val="nil"/>
              <w:left w:val="nil"/>
              <w:bottom w:val="nil"/>
              <w:right w:val="single" w:sz="8" w:space="0" w:color="auto"/>
            </w:tcBorders>
            <w:shd w:val="clear" w:color="auto" w:fill="auto"/>
            <w:noWrap/>
            <w:vAlign w:val="bottom"/>
            <w:hideMark/>
          </w:tcPr>
          <w:p w14:paraId="5904219D"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0.045361066</w:t>
            </w:r>
          </w:p>
        </w:tc>
        <w:tc>
          <w:tcPr>
            <w:tcW w:w="1701" w:type="dxa"/>
            <w:vMerge/>
            <w:tcBorders>
              <w:top w:val="nil"/>
              <w:left w:val="single" w:sz="8" w:space="0" w:color="auto"/>
              <w:bottom w:val="single" w:sz="8" w:space="0" w:color="000000"/>
              <w:right w:val="nil"/>
            </w:tcBorders>
            <w:vAlign w:val="center"/>
            <w:hideMark/>
          </w:tcPr>
          <w:p w14:paraId="0E8A5988"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auto"/>
            <w:noWrap/>
            <w:vAlign w:val="bottom"/>
            <w:hideMark/>
          </w:tcPr>
          <w:p w14:paraId="6C99738C"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Indiana</w:t>
            </w:r>
          </w:p>
        </w:tc>
        <w:tc>
          <w:tcPr>
            <w:tcW w:w="2070" w:type="dxa"/>
            <w:tcBorders>
              <w:top w:val="nil"/>
              <w:left w:val="nil"/>
              <w:bottom w:val="nil"/>
              <w:right w:val="single" w:sz="8" w:space="0" w:color="auto"/>
            </w:tcBorders>
            <w:shd w:val="clear" w:color="auto" w:fill="auto"/>
            <w:noWrap/>
            <w:vAlign w:val="bottom"/>
            <w:hideMark/>
          </w:tcPr>
          <w:p w14:paraId="55F2A417"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0.048236</w:t>
            </w:r>
          </w:p>
        </w:tc>
      </w:tr>
      <w:tr w:rsidR="00DA05DF" w:rsidRPr="00DA05DF" w14:paraId="70ECEE47"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56A2270A"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auto" w:fill="auto"/>
            <w:noWrap/>
            <w:vAlign w:val="bottom"/>
            <w:hideMark/>
          </w:tcPr>
          <w:p w14:paraId="25C09EB3"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MI</w:t>
            </w:r>
          </w:p>
        </w:tc>
        <w:tc>
          <w:tcPr>
            <w:tcW w:w="1539" w:type="dxa"/>
            <w:tcBorders>
              <w:top w:val="nil"/>
              <w:left w:val="nil"/>
              <w:bottom w:val="nil"/>
              <w:right w:val="single" w:sz="8" w:space="0" w:color="auto"/>
            </w:tcBorders>
            <w:shd w:val="clear" w:color="auto" w:fill="auto"/>
            <w:noWrap/>
            <w:vAlign w:val="bottom"/>
            <w:hideMark/>
          </w:tcPr>
          <w:p w14:paraId="6994FA5D"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0.035254865</w:t>
            </w:r>
          </w:p>
        </w:tc>
        <w:tc>
          <w:tcPr>
            <w:tcW w:w="1701" w:type="dxa"/>
            <w:vMerge/>
            <w:tcBorders>
              <w:top w:val="nil"/>
              <w:left w:val="single" w:sz="8" w:space="0" w:color="auto"/>
              <w:bottom w:val="single" w:sz="8" w:space="0" w:color="000000"/>
              <w:right w:val="nil"/>
            </w:tcBorders>
            <w:vAlign w:val="center"/>
            <w:hideMark/>
          </w:tcPr>
          <w:p w14:paraId="1355AA9D"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auto"/>
            <w:noWrap/>
            <w:vAlign w:val="bottom"/>
            <w:hideMark/>
          </w:tcPr>
          <w:p w14:paraId="587F00EE"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Michigan</w:t>
            </w:r>
          </w:p>
        </w:tc>
        <w:tc>
          <w:tcPr>
            <w:tcW w:w="2070" w:type="dxa"/>
            <w:tcBorders>
              <w:top w:val="nil"/>
              <w:left w:val="nil"/>
              <w:bottom w:val="nil"/>
              <w:right w:val="single" w:sz="8" w:space="0" w:color="auto"/>
            </w:tcBorders>
            <w:shd w:val="clear" w:color="auto" w:fill="auto"/>
            <w:noWrap/>
            <w:vAlign w:val="bottom"/>
            <w:hideMark/>
          </w:tcPr>
          <w:p w14:paraId="1B5397A2"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0.038705</w:t>
            </w:r>
          </w:p>
        </w:tc>
      </w:tr>
      <w:tr w:rsidR="00DA05DF" w:rsidRPr="00DA05DF" w14:paraId="3CFCCB99"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4C7DFE1F"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single" w:sz="8" w:space="0" w:color="auto"/>
              <w:right w:val="nil"/>
            </w:tcBorders>
            <w:shd w:val="clear" w:color="auto" w:fill="auto"/>
            <w:noWrap/>
            <w:vAlign w:val="bottom"/>
            <w:hideMark/>
          </w:tcPr>
          <w:p w14:paraId="188ACD7F"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IL</w:t>
            </w:r>
          </w:p>
        </w:tc>
        <w:tc>
          <w:tcPr>
            <w:tcW w:w="1539" w:type="dxa"/>
            <w:tcBorders>
              <w:top w:val="nil"/>
              <w:left w:val="nil"/>
              <w:bottom w:val="single" w:sz="8" w:space="0" w:color="auto"/>
              <w:right w:val="single" w:sz="8" w:space="0" w:color="auto"/>
            </w:tcBorders>
            <w:shd w:val="clear" w:color="auto" w:fill="auto"/>
            <w:noWrap/>
            <w:vAlign w:val="bottom"/>
            <w:hideMark/>
          </w:tcPr>
          <w:p w14:paraId="1FFA39A3"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0.027097205</w:t>
            </w:r>
          </w:p>
        </w:tc>
        <w:tc>
          <w:tcPr>
            <w:tcW w:w="1701" w:type="dxa"/>
            <w:vMerge/>
            <w:tcBorders>
              <w:top w:val="nil"/>
              <w:left w:val="single" w:sz="8" w:space="0" w:color="auto"/>
              <w:bottom w:val="single" w:sz="8" w:space="0" w:color="000000"/>
              <w:right w:val="nil"/>
            </w:tcBorders>
            <w:vAlign w:val="center"/>
            <w:hideMark/>
          </w:tcPr>
          <w:p w14:paraId="5D81D40A"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single" w:sz="8" w:space="0" w:color="auto"/>
              <w:right w:val="nil"/>
            </w:tcBorders>
            <w:shd w:val="clear" w:color="auto" w:fill="auto"/>
            <w:noWrap/>
            <w:vAlign w:val="bottom"/>
            <w:hideMark/>
          </w:tcPr>
          <w:p w14:paraId="58B07BD1"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Illinois</w:t>
            </w:r>
          </w:p>
        </w:tc>
        <w:tc>
          <w:tcPr>
            <w:tcW w:w="2070" w:type="dxa"/>
            <w:tcBorders>
              <w:top w:val="nil"/>
              <w:left w:val="nil"/>
              <w:bottom w:val="single" w:sz="8" w:space="0" w:color="auto"/>
              <w:right w:val="single" w:sz="8" w:space="0" w:color="auto"/>
            </w:tcBorders>
            <w:shd w:val="clear" w:color="auto" w:fill="auto"/>
            <w:noWrap/>
            <w:vAlign w:val="bottom"/>
            <w:hideMark/>
          </w:tcPr>
          <w:p w14:paraId="058AE841"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0.029948</w:t>
            </w:r>
          </w:p>
        </w:tc>
      </w:tr>
      <w:tr w:rsidR="00DA05DF" w:rsidRPr="00DA05DF" w14:paraId="7E694D4C" w14:textId="77777777" w:rsidTr="00160D14">
        <w:trPr>
          <w:cantSplit/>
          <w:trHeight w:val="20"/>
        </w:trPr>
        <w:tc>
          <w:tcPr>
            <w:tcW w:w="1213" w:type="dxa"/>
            <w:vMerge w:val="restart"/>
            <w:tcBorders>
              <w:top w:val="nil"/>
              <w:left w:val="single" w:sz="8" w:space="0" w:color="auto"/>
              <w:bottom w:val="single" w:sz="8" w:space="0" w:color="000000"/>
              <w:right w:val="nil"/>
            </w:tcBorders>
            <w:shd w:val="clear" w:color="auto" w:fill="auto"/>
            <w:textDirection w:val="btLr"/>
            <w:vAlign w:val="center"/>
            <w:hideMark/>
          </w:tcPr>
          <w:p w14:paraId="491B7915"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James Face</w:t>
            </w:r>
          </w:p>
        </w:tc>
        <w:tc>
          <w:tcPr>
            <w:tcW w:w="1748" w:type="dxa"/>
            <w:tcBorders>
              <w:top w:val="nil"/>
              <w:left w:val="nil"/>
              <w:bottom w:val="nil"/>
              <w:right w:val="nil"/>
            </w:tcBorders>
            <w:shd w:val="clear" w:color="auto" w:fill="auto"/>
            <w:noWrap/>
            <w:vAlign w:val="bottom"/>
            <w:hideMark/>
          </w:tcPr>
          <w:p w14:paraId="3E0105ED"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w:t>
            </w:r>
          </w:p>
        </w:tc>
        <w:tc>
          <w:tcPr>
            <w:tcW w:w="1539" w:type="dxa"/>
            <w:tcBorders>
              <w:top w:val="nil"/>
              <w:left w:val="nil"/>
              <w:bottom w:val="nil"/>
              <w:right w:val="single" w:sz="8" w:space="0" w:color="auto"/>
            </w:tcBorders>
            <w:shd w:val="clear" w:color="auto" w:fill="auto"/>
            <w:noWrap/>
            <w:vAlign w:val="bottom"/>
            <w:hideMark/>
          </w:tcPr>
          <w:p w14:paraId="484D3322"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0.220751954</w:t>
            </w:r>
          </w:p>
        </w:tc>
        <w:tc>
          <w:tcPr>
            <w:tcW w:w="1701" w:type="dxa"/>
            <w:vMerge w:val="restart"/>
            <w:tcBorders>
              <w:top w:val="nil"/>
              <w:left w:val="single" w:sz="8" w:space="0" w:color="auto"/>
              <w:bottom w:val="single" w:sz="8" w:space="0" w:color="000000"/>
              <w:right w:val="nil"/>
            </w:tcBorders>
            <w:shd w:val="clear" w:color="auto" w:fill="auto"/>
            <w:textDirection w:val="btLr"/>
            <w:vAlign w:val="center"/>
            <w:hideMark/>
          </w:tcPr>
          <w:p w14:paraId="54AF779E"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James Face</w:t>
            </w:r>
          </w:p>
        </w:tc>
        <w:tc>
          <w:tcPr>
            <w:tcW w:w="1710" w:type="dxa"/>
            <w:tcBorders>
              <w:top w:val="nil"/>
              <w:left w:val="nil"/>
              <w:bottom w:val="nil"/>
              <w:right w:val="nil"/>
            </w:tcBorders>
            <w:shd w:val="clear" w:color="auto" w:fill="auto"/>
            <w:noWrap/>
            <w:vAlign w:val="bottom"/>
            <w:hideMark/>
          </w:tcPr>
          <w:p w14:paraId="6A8CC130"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Ohio</w:t>
            </w:r>
          </w:p>
        </w:tc>
        <w:tc>
          <w:tcPr>
            <w:tcW w:w="2070" w:type="dxa"/>
            <w:tcBorders>
              <w:top w:val="nil"/>
              <w:left w:val="nil"/>
              <w:bottom w:val="nil"/>
              <w:right w:val="single" w:sz="8" w:space="0" w:color="auto"/>
            </w:tcBorders>
            <w:shd w:val="clear" w:color="auto" w:fill="auto"/>
            <w:noWrap/>
            <w:vAlign w:val="bottom"/>
            <w:hideMark/>
          </w:tcPr>
          <w:p w14:paraId="34DC31A5"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0.148042</w:t>
            </w:r>
          </w:p>
        </w:tc>
      </w:tr>
      <w:tr w:rsidR="00DA05DF" w:rsidRPr="00DA05DF" w14:paraId="42F5D8AC"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28C74BF4"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auto" w:fill="auto"/>
            <w:noWrap/>
            <w:vAlign w:val="bottom"/>
            <w:hideMark/>
          </w:tcPr>
          <w:p w14:paraId="00B9A67D"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PA</w:t>
            </w:r>
          </w:p>
        </w:tc>
        <w:tc>
          <w:tcPr>
            <w:tcW w:w="1539" w:type="dxa"/>
            <w:tcBorders>
              <w:top w:val="nil"/>
              <w:left w:val="nil"/>
              <w:bottom w:val="nil"/>
              <w:right w:val="single" w:sz="8" w:space="0" w:color="auto"/>
            </w:tcBorders>
            <w:shd w:val="clear" w:color="auto" w:fill="auto"/>
            <w:noWrap/>
            <w:vAlign w:val="bottom"/>
            <w:hideMark/>
          </w:tcPr>
          <w:p w14:paraId="6D34AA87"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0.093719295</w:t>
            </w:r>
          </w:p>
        </w:tc>
        <w:tc>
          <w:tcPr>
            <w:tcW w:w="1701" w:type="dxa"/>
            <w:vMerge/>
            <w:tcBorders>
              <w:top w:val="nil"/>
              <w:left w:val="single" w:sz="8" w:space="0" w:color="auto"/>
              <w:bottom w:val="single" w:sz="8" w:space="0" w:color="000000"/>
              <w:right w:val="nil"/>
            </w:tcBorders>
            <w:vAlign w:val="center"/>
            <w:hideMark/>
          </w:tcPr>
          <w:p w14:paraId="187EE1D3"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auto"/>
            <w:noWrap/>
            <w:vAlign w:val="bottom"/>
            <w:hideMark/>
          </w:tcPr>
          <w:p w14:paraId="56AA2681"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Pennsylvania</w:t>
            </w:r>
          </w:p>
        </w:tc>
        <w:tc>
          <w:tcPr>
            <w:tcW w:w="2070" w:type="dxa"/>
            <w:tcBorders>
              <w:top w:val="nil"/>
              <w:left w:val="nil"/>
              <w:bottom w:val="nil"/>
              <w:right w:val="single" w:sz="8" w:space="0" w:color="auto"/>
            </w:tcBorders>
            <w:shd w:val="clear" w:color="auto" w:fill="auto"/>
            <w:noWrap/>
            <w:vAlign w:val="bottom"/>
            <w:hideMark/>
          </w:tcPr>
          <w:p w14:paraId="58940E4F"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0.095895</w:t>
            </w:r>
          </w:p>
        </w:tc>
      </w:tr>
      <w:tr w:rsidR="00DA05DF" w:rsidRPr="00DA05DF" w14:paraId="0E226B6F"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6C860E81"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auto" w:fill="auto"/>
            <w:noWrap/>
            <w:vAlign w:val="bottom"/>
            <w:hideMark/>
          </w:tcPr>
          <w:p w14:paraId="6DE76AC3"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w:t>
            </w:r>
          </w:p>
        </w:tc>
        <w:tc>
          <w:tcPr>
            <w:tcW w:w="1539" w:type="dxa"/>
            <w:tcBorders>
              <w:top w:val="nil"/>
              <w:left w:val="nil"/>
              <w:bottom w:val="nil"/>
              <w:right w:val="single" w:sz="8" w:space="0" w:color="auto"/>
            </w:tcBorders>
            <w:shd w:val="clear" w:color="auto" w:fill="auto"/>
            <w:noWrap/>
            <w:vAlign w:val="bottom"/>
            <w:hideMark/>
          </w:tcPr>
          <w:p w14:paraId="61F7BD70"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0.084795405</w:t>
            </w:r>
          </w:p>
        </w:tc>
        <w:tc>
          <w:tcPr>
            <w:tcW w:w="1701" w:type="dxa"/>
            <w:vMerge/>
            <w:tcBorders>
              <w:top w:val="nil"/>
              <w:left w:val="single" w:sz="8" w:space="0" w:color="auto"/>
              <w:bottom w:val="single" w:sz="8" w:space="0" w:color="000000"/>
              <w:right w:val="nil"/>
            </w:tcBorders>
            <w:vAlign w:val="center"/>
            <w:hideMark/>
          </w:tcPr>
          <w:p w14:paraId="782B629A"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auto"/>
            <w:noWrap/>
            <w:vAlign w:val="bottom"/>
            <w:hideMark/>
          </w:tcPr>
          <w:p w14:paraId="3372A3E2"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Indiana</w:t>
            </w:r>
          </w:p>
        </w:tc>
        <w:tc>
          <w:tcPr>
            <w:tcW w:w="2070" w:type="dxa"/>
            <w:tcBorders>
              <w:top w:val="nil"/>
              <w:left w:val="nil"/>
              <w:bottom w:val="nil"/>
              <w:right w:val="single" w:sz="8" w:space="0" w:color="auto"/>
            </w:tcBorders>
            <w:shd w:val="clear" w:color="auto" w:fill="auto"/>
            <w:noWrap/>
            <w:vAlign w:val="bottom"/>
            <w:hideMark/>
          </w:tcPr>
          <w:p w14:paraId="5005EB58"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0.085382</w:t>
            </w:r>
          </w:p>
        </w:tc>
      </w:tr>
      <w:tr w:rsidR="00DA05DF" w:rsidRPr="00DA05DF" w14:paraId="72BF4BB1"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59803A58"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auto" w:fill="auto"/>
            <w:noWrap/>
            <w:vAlign w:val="bottom"/>
            <w:hideMark/>
          </w:tcPr>
          <w:p w14:paraId="274B2494"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KY</w:t>
            </w:r>
          </w:p>
        </w:tc>
        <w:tc>
          <w:tcPr>
            <w:tcW w:w="1539" w:type="dxa"/>
            <w:tcBorders>
              <w:top w:val="nil"/>
              <w:left w:val="nil"/>
              <w:bottom w:val="nil"/>
              <w:right w:val="single" w:sz="8" w:space="0" w:color="auto"/>
            </w:tcBorders>
            <w:shd w:val="clear" w:color="auto" w:fill="auto"/>
            <w:noWrap/>
            <w:vAlign w:val="bottom"/>
            <w:hideMark/>
          </w:tcPr>
          <w:p w14:paraId="08C6F6BE"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0.06977157</w:t>
            </w:r>
          </w:p>
        </w:tc>
        <w:tc>
          <w:tcPr>
            <w:tcW w:w="1701" w:type="dxa"/>
            <w:vMerge/>
            <w:tcBorders>
              <w:top w:val="nil"/>
              <w:left w:val="single" w:sz="8" w:space="0" w:color="auto"/>
              <w:bottom w:val="single" w:sz="8" w:space="0" w:color="000000"/>
              <w:right w:val="nil"/>
            </w:tcBorders>
            <w:vAlign w:val="center"/>
            <w:hideMark/>
          </w:tcPr>
          <w:p w14:paraId="53F49A9C"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auto"/>
            <w:noWrap/>
            <w:vAlign w:val="bottom"/>
            <w:hideMark/>
          </w:tcPr>
          <w:p w14:paraId="69DC265D"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Kentucky</w:t>
            </w:r>
          </w:p>
        </w:tc>
        <w:tc>
          <w:tcPr>
            <w:tcW w:w="2070" w:type="dxa"/>
            <w:tcBorders>
              <w:top w:val="nil"/>
              <w:left w:val="nil"/>
              <w:bottom w:val="nil"/>
              <w:right w:val="single" w:sz="8" w:space="0" w:color="auto"/>
            </w:tcBorders>
            <w:shd w:val="clear" w:color="auto" w:fill="auto"/>
            <w:noWrap/>
            <w:vAlign w:val="bottom"/>
            <w:hideMark/>
          </w:tcPr>
          <w:p w14:paraId="3DB8B9DE"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0.070312</w:t>
            </w:r>
          </w:p>
        </w:tc>
      </w:tr>
      <w:tr w:rsidR="00DA05DF" w:rsidRPr="00DA05DF" w14:paraId="2453DF79"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2FC7C189"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000000" w:fill="FCE4D6"/>
            <w:noWrap/>
            <w:vAlign w:val="bottom"/>
            <w:hideMark/>
          </w:tcPr>
          <w:p w14:paraId="1D585E8B"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VA</w:t>
            </w:r>
          </w:p>
        </w:tc>
        <w:tc>
          <w:tcPr>
            <w:tcW w:w="1539" w:type="dxa"/>
            <w:tcBorders>
              <w:top w:val="nil"/>
              <w:left w:val="nil"/>
              <w:bottom w:val="nil"/>
              <w:right w:val="single" w:sz="8" w:space="0" w:color="auto"/>
            </w:tcBorders>
            <w:shd w:val="clear" w:color="auto" w:fill="auto"/>
            <w:noWrap/>
            <w:vAlign w:val="bottom"/>
            <w:hideMark/>
          </w:tcPr>
          <w:p w14:paraId="622FAFB2"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0.055890047</w:t>
            </w:r>
          </w:p>
        </w:tc>
        <w:tc>
          <w:tcPr>
            <w:tcW w:w="1701" w:type="dxa"/>
            <w:vMerge/>
            <w:tcBorders>
              <w:top w:val="nil"/>
              <w:left w:val="single" w:sz="8" w:space="0" w:color="auto"/>
              <w:bottom w:val="single" w:sz="8" w:space="0" w:color="000000"/>
              <w:right w:val="nil"/>
            </w:tcBorders>
            <w:vAlign w:val="center"/>
            <w:hideMark/>
          </w:tcPr>
          <w:p w14:paraId="5A741827"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000000" w:fill="FCE4D6"/>
            <w:noWrap/>
            <w:vAlign w:val="bottom"/>
            <w:hideMark/>
          </w:tcPr>
          <w:p w14:paraId="32CF7DDD"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West Virginia</w:t>
            </w:r>
          </w:p>
        </w:tc>
        <w:tc>
          <w:tcPr>
            <w:tcW w:w="2070" w:type="dxa"/>
            <w:tcBorders>
              <w:top w:val="nil"/>
              <w:left w:val="nil"/>
              <w:bottom w:val="nil"/>
              <w:right w:val="single" w:sz="8" w:space="0" w:color="auto"/>
            </w:tcBorders>
            <w:shd w:val="clear" w:color="auto" w:fill="auto"/>
            <w:noWrap/>
            <w:vAlign w:val="bottom"/>
            <w:hideMark/>
          </w:tcPr>
          <w:p w14:paraId="5D1C5E20"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0.067112</w:t>
            </w:r>
          </w:p>
        </w:tc>
      </w:tr>
      <w:tr w:rsidR="00DA05DF" w:rsidRPr="00DA05DF" w14:paraId="4472F1A3" w14:textId="77777777" w:rsidTr="00160D14">
        <w:trPr>
          <w:cantSplit/>
          <w:trHeight w:val="20"/>
        </w:trPr>
        <w:tc>
          <w:tcPr>
            <w:tcW w:w="1213"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0B0E35F"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Lye Brook</w:t>
            </w:r>
          </w:p>
        </w:tc>
        <w:tc>
          <w:tcPr>
            <w:tcW w:w="1748" w:type="dxa"/>
            <w:tcBorders>
              <w:top w:val="single" w:sz="8" w:space="0" w:color="auto"/>
              <w:left w:val="nil"/>
              <w:bottom w:val="nil"/>
              <w:right w:val="nil"/>
            </w:tcBorders>
            <w:shd w:val="clear" w:color="000000" w:fill="FCE4D6"/>
            <w:noWrap/>
            <w:vAlign w:val="bottom"/>
            <w:hideMark/>
          </w:tcPr>
          <w:p w14:paraId="5D0F991D"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w:t>
            </w:r>
          </w:p>
        </w:tc>
        <w:tc>
          <w:tcPr>
            <w:tcW w:w="1539" w:type="dxa"/>
            <w:tcBorders>
              <w:top w:val="single" w:sz="8" w:space="0" w:color="auto"/>
              <w:left w:val="nil"/>
              <w:bottom w:val="nil"/>
              <w:right w:val="single" w:sz="8" w:space="0" w:color="auto"/>
            </w:tcBorders>
            <w:shd w:val="clear" w:color="auto" w:fill="auto"/>
            <w:noWrap/>
            <w:vAlign w:val="bottom"/>
            <w:hideMark/>
          </w:tcPr>
          <w:p w14:paraId="3A71D310"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0.114401027</w:t>
            </w:r>
          </w:p>
        </w:tc>
        <w:tc>
          <w:tcPr>
            <w:tcW w:w="1701"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BBAEB5F"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Lye Brook</w:t>
            </w:r>
          </w:p>
        </w:tc>
        <w:tc>
          <w:tcPr>
            <w:tcW w:w="1710" w:type="dxa"/>
            <w:tcBorders>
              <w:top w:val="single" w:sz="8" w:space="0" w:color="auto"/>
              <w:left w:val="nil"/>
              <w:bottom w:val="nil"/>
              <w:right w:val="nil"/>
            </w:tcBorders>
            <w:shd w:val="clear" w:color="000000" w:fill="FCE4D6"/>
            <w:noWrap/>
            <w:vAlign w:val="bottom"/>
            <w:hideMark/>
          </w:tcPr>
          <w:p w14:paraId="0CE47E32"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Pennsylvania</w:t>
            </w:r>
          </w:p>
        </w:tc>
        <w:tc>
          <w:tcPr>
            <w:tcW w:w="2070" w:type="dxa"/>
            <w:tcBorders>
              <w:top w:val="single" w:sz="8" w:space="0" w:color="auto"/>
              <w:left w:val="nil"/>
              <w:bottom w:val="nil"/>
              <w:right w:val="single" w:sz="8" w:space="0" w:color="auto"/>
            </w:tcBorders>
            <w:shd w:val="clear" w:color="auto" w:fill="auto"/>
            <w:noWrap/>
            <w:vAlign w:val="bottom"/>
            <w:hideMark/>
          </w:tcPr>
          <w:p w14:paraId="34CA001C"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0.132424</w:t>
            </w:r>
          </w:p>
        </w:tc>
      </w:tr>
      <w:tr w:rsidR="00DA05DF" w:rsidRPr="00DA05DF" w14:paraId="3F0D1176"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08ACCE4A"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000000" w:fill="FCE4D6"/>
            <w:noWrap/>
            <w:vAlign w:val="bottom"/>
            <w:hideMark/>
          </w:tcPr>
          <w:p w14:paraId="687298B7"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PA</w:t>
            </w:r>
          </w:p>
        </w:tc>
        <w:tc>
          <w:tcPr>
            <w:tcW w:w="1539" w:type="dxa"/>
            <w:tcBorders>
              <w:top w:val="nil"/>
              <w:left w:val="nil"/>
              <w:bottom w:val="nil"/>
              <w:right w:val="single" w:sz="8" w:space="0" w:color="auto"/>
            </w:tcBorders>
            <w:shd w:val="clear" w:color="auto" w:fill="auto"/>
            <w:noWrap/>
            <w:vAlign w:val="bottom"/>
            <w:hideMark/>
          </w:tcPr>
          <w:p w14:paraId="0F59884A"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0.098398004</w:t>
            </w:r>
          </w:p>
        </w:tc>
        <w:tc>
          <w:tcPr>
            <w:tcW w:w="1701" w:type="dxa"/>
            <w:vMerge/>
            <w:tcBorders>
              <w:top w:val="nil"/>
              <w:left w:val="single" w:sz="8" w:space="0" w:color="auto"/>
              <w:bottom w:val="single" w:sz="8" w:space="0" w:color="000000"/>
              <w:right w:val="nil"/>
            </w:tcBorders>
            <w:vAlign w:val="center"/>
            <w:hideMark/>
          </w:tcPr>
          <w:p w14:paraId="78CE3042"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000000" w:fill="FCE4D6"/>
            <w:noWrap/>
            <w:vAlign w:val="bottom"/>
            <w:hideMark/>
          </w:tcPr>
          <w:p w14:paraId="191E48B8"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Ohio</w:t>
            </w:r>
          </w:p>
        </w:tc>
        <w:tc>
          <w:tcPr>
            <w:tcW w:w="2070" w:type="dxa"/>
            <w:tcBorders>
              <w:top w:val="nil"/>
              <w:left w:val="nil"/>
              <w:bottom w:val="nil"/>
              <w:right w:val="single" w:sz="8" w:space="0" w:color="auto"/>
            </w:tcBorders>
            <w:shd w:val="clear" w:color="auto" w:fill="auto"/>
            <w:noWrap/>
            <w:vAlign w:val="bottom"/>
            <w:hideMark/>
          </w:tcPr>
          <w:p w14:paraId="39D86E52"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0.116413</w:t>
            </w:r>
          </w:p>
        </w:tc>
      </w:tr>
      <w:tr w:rsidR="00DA05DF" w:rsidRPr="00DA05DF" w14:paraId="34BF55FF"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7363B541"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auto" w:fill="auto"/>
            <w:noWrap/>
            <w:vAlign w:val="bottom"/>
            <w:hideMark/>
          </w:tcPr>
          <w:p w14:paraId="532D7333"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w:t>
            </w:r>
          </w:p>
        </w:tc>
        <w:tc>
          <w:tcPr>
            <w:tcW w:w="1539" w:type="dxa"/>
            <w:tcBorders>
              <w:top w:val="nil"/>
              <w:left w:val="nil"/>
              <w:bottom w:val="nil"/>
              <w:right w:val="single" w:sz="8" w:space="0" w:color="auto"/>
            </w:tcBorders>
            <w:shd w:val="clear" w:color="auto" w:fill="auto"/>
            <w:noWrap/>
            <w:vAlign w:val="bottom"/>
            <w:hideMark/>
          </w:tcPr>
          <w:p w14:paraId="11A95DA5"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0.051105607</w:t>
            </w:r>
          </w:p>
        </w:tc>
        <w:tc>
          <w:tcPr>
            <w:tcW w:w="1701" w:type="dxa"/>
            <w:vMerge/>
            <w:tcBorders>
              <w:top w:val="nil"/>
              <w:left w:val="single" w:sz="8" w:space="0" w:color="auto"/>
              <w:bottom w:val="single" w:sz="8" w:space="0" w:color="000000"/>
              <w:right w:val="nil"/>
            </w:tcBorders>
            <w:vAlign w:val="center"/>
            <w:hideMark/>
          </w:tcPr>
          <w:p w14:paraId="297A4EEC"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auto"/>
            <w:noWrap/>
            <w:vAlign w:val="bottom"/>
            <w:hideMark/>
          </w:tcPr>
          <w:p w14:paraId="54326E41"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Indiana</w:t>
            </w:r>
          </w:p>
        </w:tc>
        <w:tc>
          <w:tcPr>
            <w:tcW w:w="2070" w:type="dxa"/>
            <w:tcBorders>
              <w:top w:val="nil"/>
              <w:left w:val="nil"/>
              <w:bottom w:val="nil"/>
              <w:right w:val="single" w:sz="8" w:space="0" w:color="auto"/>
            </w:tcBorders>
            <w:shd w:val="clear" w:color="auto" w:fill="auto"/>
            <w:noWrap/>
            <w:vAlign w:val="bottom"/>
            <w:hideMark/>
          </w:tcPr>
          <w:p w14:paraId="2DBC8822"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0.05447</w:t>
            </w:r>
          </w:p>
        </w:tc>
      </w:tr>
      <w:tr w:rsidR="00DA05DF" w:rsidRPr="00DA05DF" w14:paraId="4089DEBB"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2B52E2B7"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000000" w:fill="FCE4D6"/>
            <w:noWrap/>
            <w:vAlign w:val="bottom"/>
            <w:hideMark/>
          </w:tcPr>
          <w:p w14:paraId="25D06079"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MI</w:t>
            </w:r>
          </w:p>
        </w:tc>
        <w:tc>
          <w:tcPr>
            <w:tcW w:w="1539" w:type="dxa"/>
            <w:tcBorders>
              <w:top w:val="nil"/>
              <w:left w:val="nil"/>
              <w:bottom w:val="nil"/>
              <w:right w:val="single" w:sz="8" w:space="0" w:color="auto"/>
            </w:tcBorders>
            <w:shd w:val="clear" w:color="auto" w:fill="auto"/>
            <w:noWrap/>
            <w:vAlign w:val="bottom"/>
            <w:hideMark/>
          </w:tcPr>
          <w:p w14:paraId="4611BB34"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0.044568087</w:t>
            </w:r>
          </w:p>
        </w:tc>
        <w:tc>
          <w:tcPr>
            <w:tcW w:w="1701" w:type="dxa"/>
            <w:vMerge/>
            <w:tcBorders>
              <w:top w:val="nil"/>
              <w:left w:val="single" w:sz="8" w:space="0" w:color="auto"/>
              <w:bottom w:val="single" w:sz="8" w:space="0" w:color="000000"/>
              <w:right w:val="nil"/>
            </w:tcBorders>
            <w:vAlign w:val="center"/>
            <w:hideMark/>
          </w:tcPr>
          <w:p w14:paraId="31478B0A"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000000" w:fill="FCE4D6"/>
            <w:noWrap/>
            <w:vAlign w:val="bottom"/>
            <w:hideMark/>
          </w:tcPr>
          <w:p w14:paraId="20ADCD9C"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New York</w:t>
            </w:r>
          </w:p>
        </w:tc>
        <w:tc>
          <w:tcPr>
            <w:tcW w:w="2070" w:type="dxa"/>
            <w:tcBorders>
              <w:top w:val="nil"/>
              <w:left w:val="nil"/>
              <w:bottom w:val="nil"/>
              <w:right w:val="single" w:sz="8" w:space="0" w:color="auto"/>
            </w:tcBorders>
            <w:shd w:val="clear" w:color="auto" w:fill="auto"/>
            <w:noWrap/>
            <w:vAlign w:val="bottom"/>
            <w:hideMark/>
          </w:tcPr>
          <w:p w14:paraId="46B59E62"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0.053722</w:t>
            </w:r>
          </w:p>
        </w:tc>
      </w:tr>
      <w:tr w:rsidR="00DA05DF" w:rsidRPr="00DA05DF" w14:paraId="24FD0ED3"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04329091"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single" w:sz="8" w:space="0" w:color="auto"/>
              <w:right w:val="nil"/>
            </w:tcBorders>
            <w:shd w:val="clear" w:color="000000" w:fill="FCE4D6"/>
            <w:noWrap/>
            <w:vAlign w:val="bottom"/>
            <w:hideMark/>
          </w:tcPr>
          <w:p w14:paraId="22E0BBFB"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NY</w:t>
            </w:r>
          </w:p>
        </w:tc>
        <w:tc>
          <w:tcPr>
            <w:tcW w:w="1539" w:type="dxa"/>
            <w:tcBorders>
              <w:top w:val="nil"/>
              <w:left w:val="nil"/>
              <w:bottom w:val="single" w:sz="8" w:space="0" w:color="auto"/>
              <w:right w:val="single" w:sz="8" w:space="0" w:color="auto"/>
            </w:tcBorders>
            <w:shd w:val="clear" w:color="auto" w:fill="auto"/>
            <w:noWrap/>
            <w:vAlign w:val="bottom"/>
            <w:hideMark/>
          </w:tcPr>
          <w:p w14:paraId="22985398"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0.032786194</w:t>
            </w:r>
          </w:p>
        </w:tc>
        <w:tc>
          <w:tcPr>
            <w:tcW w:w="1701" w:type="dxa"/>
            <w:vMerge/>
            <w:tcBorders>
              <w:top w:val="nil"/>
              <w:left w:val="single" w:sz="8" w:space="0" w:color="auto"/>
              <w:bottom w:val="single" w:sz="8" w:space="0" w:color="000000"/>
              <w:right w:val="nil"/>
            </w:tcBorders>
            <w:vAlign w:val="center"/>
            <w:hideMark/>
          </w:tcPr>
          <w:p w14:paraId="48CBA5AA"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single" w:sz="8" w:space="0" w:color="auto"/>
              <w:right w:val="nil"/>
            </w:tcBorders>
            <w:shd w:val="clear" w:color="000000" w:fill="FCE4D6"/>
            <w:noWrap/>
            <w:vAlign w:val="bottom"/>
            <w:hideMark/>
          </w:tcPr>
          <w:p w14:paraId="479F547B"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Michigan</w:t>
            </w:r>
          </w:p>
        </w:tc>
        <w:tc>
          <w:tcPr>
            <w:tcW w:w="2070" w:type="dxa"/>
            <w:tcBorders>
              <w:top w:val="nil"/>
              <w:left w:val="nil"/>
              <w:bottom w:val="single" w:sz="8" w:space="0" w:color="auto"/>
              <w:right w:val="single" w:sz="8" w:space="0" w:color="auto"/>
            </w:tcBorders>
            <w:shd w:val="clear" w:color="auto" w:fill="auto"/>
            <w:noWrap/>
            <w:vAlign w:val="bottom"/>
            <w:hideMark/>
          </w:tcPr>
          <w:p w14:paraId="4678D7D6"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0.044304</w:t>
            </w:r>
          </w:p>
        </w:tc>
      </w:tr>
      <w:tr w:rsidR="00DA05DF" w:rsidRPr="00DA05DF" w14:paraId="5FF6002B" w14:textId="77777777" w:rsidTr="00160D14">
        <w:trPr>
          <w:cantSplit/>
          <w:trHeight w:val="20"/>
        </w:trPr>
        <w:tc>
          <w:tcPr>
            <w:tcW w:w="1213"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B2E8594"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Moosehorn</w:t>
            </w:r>
          </w:p>
        </w:tc>
        <w:tc>
          <w:tcPr>
            <w:tcW w:w="1748" w:type="dxa"/>
            <w:tcBorders>
              <w:top w:val="nil"/>
              <w:left w:val="nil"/>
              <w:bottom w:val="nil"/>
              <w:right w:val="nil"/>
            </w:tcBorders>
            <w:shd w:val="clear" w:color="000000" w:fill="FCE4D6"/>
            <w:noWrap/>
            <w:vAlign w:val="bottom"/>
            <w:hideMark/>
          </w:tcPr>
          <w:p w14:paraId="62C738D5"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w:t>
            </w:r>
          </w:p>
        </w:tc>
        <w:tc>
          <w:tcPr>
            <w:tcW w:w="1539" w:type="dxa"/>
            <w:tcBorders>
              <w:top w:val="nil"/>
              <w:left w:val="nil"/>
              <w:bottom w:val="nil"/>
              <w:right w:val="single" w:sz="8" w:space="0" w:color="auto"/>
            </w:tcBorders>
            <w:shd w:val="clear" w:color="auto" w:fill="auto"/>
            <w:noWrap/>
            <w:vAlign w:val="bottom"/>
            <w:hideMark/>
          </w:tcPr>
          <w:p w14:paraId="0FDC3AD1"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0.08457113</w:t>
            </w:r>
          </w:p>
        </w:tc>
        <w:tc>
          <w:tcPr>
            <w:tcW w:w="1701"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0EC92BEF"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Moosehorn</w:t>
            </w:r>
          </w:p>
        </w:tc>
        <w:tc>
          <w:tcPr>
            <w:tcW w:w="1710" w:type="dxa"/>
            <w:tcBorders>
              <w:top w:val="nil"/>
              <w:left w:val="nil"/>
              <w:bottom w:val="nil"/>
              <w:right w:val="nil"/>
            </w:tcBorders>
            <w:shd w:val="clear" w:color="000000" w:fill="FCE4D6"/>
            <w:noWrap/>
            <w:vAlign w:val="bottom"/>
            <w:hideMark/>
          </w:tcPr>
          <w:p w14:paraId="56A738A7"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Ohio</w:t>
            </w:r>
          </w:p>
        </w:tc>
        <w:tc>
          <w:tcPr>
            <w:tcW w:w="2070" w:type="dxa"/>
            <w:tcBorders>
              <w:top w:val="nil"/>
              <w:left w:val="nil"/>
              <w:bottom w:val="nil"/>
              <w:right w:val="single" w:sz="8" w:space="0" w:color="auto"/>
            </w:tcBorders>
            <w:shd w:val="clear" w:color="auto" w:fill="auto"/>
            <w:noWrap/>
            <w:vAlign w:val="bottom"/>
            <w:hideMark/>
          </w:tcPr>
          <w:p w14:paraId="68354DC9"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0.079613</w:t>
            </w:r>
          </w:p>
        </w:tc>
      </w:tr>
      <w:tr w:rsidR="00DA05DF" w:rsidRPr="00DA05DF" w14:paraId="25FEC08C"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7B715DE4"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000000" w:fill="FCE4D6"/>
            <w:noWrap/>
            <w:vAlign w:val="bottom"/>
            <w:hideMark/>
          </w:tcPr>
          <w:p w14:paraId="472BDFBA"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PA</w:t>
            </w:r>
          </w:p>
        </w:tc>
        <w:tc>
          <w:tcPr>
            <w:tcW w:w="1539" w:type="dxa"/>
            <w:tcBorders>
              <w:top w:val="nil"/>
              <w:left w:val="nil"/>
              <w:bottom w:val="nil"/>
              <w:right w:val="single" w:sz="8" w:space="0" w:color="auto"/>
            </w:tcBorders>
            <w:shd w:val="clear" w:color="auto" w:fill="auto"/>
            <w:noWrap/>
            <w:vAlign w:val="bottom"/>
            <w:hideMark/>
          </w:tcPr>
          <w:p w14:paraId="7932AB9F"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0.053933613</w:t>
            </w:r>
          </w:p>
        </w:tc>
        <w:tc>
          <w:tcPr>
            <w:tcW w:w="1701" w:type="dxa"/>
            <w:vMerge/>
            <w:tcBorders>
              <w:top w:val="nil"/>
              <w:left w:val="single" w:sz="8" w:space="0" w:color="auto"/>
              <w:bottom w:val="single" w:sz="8" w:space="0" w:color="000000"/>
              <w:right w:val="nil"/>
            </w:tcBorders>
            <w:vAlign w:val="center"/>
            <w:hideMark/>
          </w:tcPr>
          <w:p w14:paraId="27EEF6CA"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000000" w:fill="FCE4D6"/>
            <w:noWrap/>
            <w:vAlign w:val="bottom"/>
            <w:hideMark/>
          </w:tcPr>
          <w:p w14:paraId="157E58F6"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Indiana</w:t>
            </w:r>
          </w:p>
        </w:tc>
        <w:tc>
          <w:tcPr>
            <w:tcW w:w="2070" w:type="dxa"/>
            <w:tcBorders>
              <w:top w:val="nil"/>
              <w:left w:val="nil"/>
              <w:bottom w:val="nil"/>
              <w:right w:val="single" w:sz="8" w:space="0" w:color="auto"/>
            </w:tcBorders>
            <w:shd w:val="clear" w:color="auto" w:fill="auto"/>
            <w:noWrap/>
            <w:vAlign w:val="bottom"/>
            <w:hideMark/>
          </w:tcPr>
          <w:p w14:paraId="2B2783F9"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0.057955</w:t>
            </w:r>
          </w:p>
        </w:tc>
      </w:tr>
      <w:tr w:rsidR="00DA05DF" w:rsidRPr="00DA05DF" w14:paraId="78DFBB7B"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392D9393"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000000" w:fill="FCE4D6"/>
            <w:noWrap/>
            <w:vAlign w:val="bottom"/>
            <w:hideMark/>
          </w:tcPr>
          <w:p w14:paraId="24834AA4"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w:t>
            </w:r>
          </w:p>
        </w:tc>
        <w:tc>
          <w:tcPr>
            <w:tcW w:w="1539" w:type="dxa"/>
            <w:tcBorders>
              <w:top w:val="nil"/>
              <w:left w:val="nil"/>
              <w:bottom w:val="nil"/>
              <w:right w:val="single" w:sz="8" w:space="0" w:color="auto"/>
            </w:tcBorders>
            <w:shd w:val="clear" w:color="auto" w:fill="auto"/>
            <w:noWrap/>
            <w:vAlign w:val="bottom"/>
            <w:hideMark/>
          </w:tcPr>
          <w:p w14:paraId="5BD3400E"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0.047024234</w:t>
            </w:r>
          </w:p>
        </w:tc>
        <w:tc>
          <w:tcPr>
            <w:tcW w:w="1701" w:type="dxa"/>
            <w:vMerge/>
            <w:tcBorders>
              <w:top w:val="nil"/>
              <w:left w:val="single" w:sz="8" w:space="0" w:color="auto"/>
              <w:bottom w:val="single" w:sz="8" w:space="0" w:color="000000"/>
              <w:right w:val="nil"/>
            </w:tcBorders>
            <w:vAlign w:val="center"/>
            <w:hideMark/>
          </w:tcPr>
          <w:p w14:paraId="524D480E"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000000" w:fill="FCE4D6"/>
            <w:noWrap/>
            <w:vAlign w:val="bottom"/>
            <w:hideMark/>
          </w:tcPr>
          <w:p w14:paraId="79D21B4C"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Illinois</w:t>
            </w:r>
          </w:p>
        </w:tc>
        <w:tc>
          <w:tcPr>
            <w:tcW w:w="2070" w:type="dxa"/>
            <w:tcBorders>
              <w:top w:val="nil"/>
              <w:left w:val="nil"/>
              <w:bottom w:val="nil"/>
              <w:right w:val="single" w:sz="8" w:space="0" w:color="auto"/>
            </w:tcBorders>
            <w:shd w:val="clear" w:color="auto" w:fill="auto"/>
            <w:noWrap/>
            <w:vAlign w:val="bottom"/>
            <w:hideMark/>
          </w:tcPr>
          <w:p w14:paraId="0C6E2720"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0.036654</w:t>
            </w:r>
          </w:p>
        </w:tc>
      </w:tr>
      <w:tr w:rsidR="00DA05DF" w:rsidRPr="00DA05DF" w14:paraId="17C86384" w14:textId="77777777" w:rsidTr="002E6924">
        <w:trPr>
          <w:cantSplit/>
          <w:trHeight w:val="20"/>
        </w:trPr>
        <w:tc>
          <w:tcPr>
            <w:tcW w:w="1213" w:type="dxa"/>
            <w:vMerge/>
            <w:tcBorders>
              <w:top w:val="nil"/>
              <w:left w:val="single" w:sz="8" w:space="0" w:color="auto"/>
              <w:bottom w:val="single" w:sz="8" w:space="0" w:color="000000"/>
              <w:right w:val="nil"/>
            </w:tcBorders>
            <w:vAlign w:val="center"/>
            <w:hideMark/>
          </w:tcPr>
          <w:p w14:paraId="3A285B1D"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000000" w:fill="FCE4D6"/>
            <w:noWrap/>
            <w:vAlign w:val="bottom"/>
            <w:hideMark/>
          </w:tcPr>
          <w:p w14:paraId="393C4413"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MI</w:t>
            </w:r>
          </w:p>
        </w:tc>
        <w:tc>
          <w:tcPr>
            <w:tcW w:w="1539" w:type="dxa"/>
            <w:tcBorders>
              <w:top w:val="nil"/>
              <w:left w:val="nil"/>
              <w:bottom w:val="nil"/>
              <w:right w:val="single" w:sz="8" w:space="0" w:color="auto"/>
            </w:tcBorders>
            <w:shd w:val="clear" w:color="auto" w:fill="auto"/>
            <w:noWrap/>
            <w:vAlign w:val="bottom"/>
            <w:hideMark/>
          </w:tcPr>
          <w:p w14:paraId="580C4CE4"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0.038105112</w:t>
            </w:r>
          </w:p>
        </w:tc>
        <w:tc>
          <w:tcPr>
            <w:tcW w:w="1701" w:type="dxa"/>
            <w:vMerge/>
            <w:tcBorders>
              <w:top w:val="nil"/>
              <w:left w:val="single" w:sz="8" w:space="0" w:color="auto"/>
              <w:bottom w:val="single" w:sz="8" w:space="0" w:color="000000"/>
              <w:right w:val="nil"/>
            </w:tcBorders>
            <w:vAlign w:val="center"/>
            <w:hideMark/>
          </w:tcPr>
          <w:p w14:paraId="6AEEA54F"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FFFFFF" w:themeFill="background1"/>
            <w:noWrap/>
            <w:vAlign w:val="bottom"/>
            <w:hideMark/>
          </w:tcPr>
          <w:p w14:paraId="6048C9C6"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Michigan</w:t>
            </w:r>
          </w:p>
        </w:tc>
        <w:tc>
          <w:tcPr>
            <w:tcW w:w="2070" w:type="dxa"/>
            <w:tcBorders>
              <w:top w:val="nil"/>
              <w:left w:val="nil"/>
              <w:bottom w:val="nil"/>
              <w:right w:val="single" w:sz="8" w:space="0" w:color="auto"/>
            </w:tcBorders>
            <w:shd w:val="clear" w:color="auto" w:fill="auto"/>
            <w:noWrap/>
            <w:vAlign w:val="bottom"/>
            <w:hideMark/>
          </w:tcPr>
          <w:p w14:paraId="6371975B"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0.030354</w:t>
            </w:r>
          </w:p>
        </w:tc>
      </w:tr>
      <w:tr w:rsidR="00DA05DF" w:rsidRPr="00DA05DF" w14:paraId="5BFD105A"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7D9E702D"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single" w:sz="8" w:space="0" w:color="auto"/>
              <w:right w:val="nil"/>
            </w:tcBorders>
            <w:shd w:val="clear" w:color="000000" w:fill="FCE4D6"/>
            <w:noWrap/>
            <w:vAlign w:val="bottom"/>
            <w:hideMark/>
          </w:tcPr>
          <w:p w14:paraId="42427B83"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IL</w:t>
            </w:r>
          </w:p>
        </w:tc>
        <w:tc>
          <w:tcPr>
            <w:tcW w:w="1539" w:type="dxa"/>
            <w:tcBorders>
              <w:top w:val="nil"/>
              <w:left w:val="nil"/>
              <w:bottom w:val="single" w:sz="8" w:space="0" w:color="auto"/>
              <w:right w:val="single" w:sz="8" w:space="0" w:color="auto"/>
            </w:tcBorders>
            <w:shd w:val="clear" w:color="auto" w:fill="auto"/>
            <w:noWrap/>
            <w:vAlign w:val="bottom"/>
            <w:hideMark/>
          </w:tcPr>
          <w:p w14:paraId="0B893286"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0.031793931</w:t>
            </w:r>
          </w:p>
        </w:tc>
        <w:tc>
          <w:tcPr>
            <w:tcW w:w="1701" w:type="dxa"/>
            <w:vMerge/>
            <w:tcBorders>
              <w:top w:val="nil"/>
              <w:left w:val="single" w:sz="8" w:space="0" w:color="auto"/>
              <w:bottom w:val="single" w:sz="8" w:space="0" w:color="000000"/>
              <w:right w:val="nil"/>
            </w:tcBorders>
            <w:vAlign w:val="center"/>
            <w:hideMark/>
          </w:tcPr>
          <w:p w14:paraId="296401AB"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single" w:sz="8" w:space="0" w:color="auto"/>
              <w:right w:val="nil"/>
            </w:tcBorders>
            <w:shd w:val="clear" w:color="000000" w:fill="FCE4D6"/>
            <w:noWrap/>
            <w:vAlign w:val="bottom"/>
            <w:hideMark/>
          </w:tcPr>
          <w:p w14:paraId="7CA0BF6E"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Texas</w:t>
            </w:r>
          </w:p>
        </w:tc>
        <w:tc>
          <w:tcPr>
            <w:tcW w:w="2070" w:type="dxa"/>
            <w:tcBorders>
              <w:top w:val="nil"/>
              <w:left w:val="nil"/>
              <w:bottom w:val="single" w:sz="8" w:space="0" w:color="auto"/>
              <w:right w:val="single" w:sz="8" w:space="0" w:color="auto"/>
            </w:tcBorders>
            <w:shd w:val="clear" w:color="auto" w:fill="auto"/>
            <w:noWrap/>
            <w:vAlign w:val="bottom"/>
            <w:hideMark/>
          </w:tcPr>
          <w:p w14:paraId="3DDCD5A6"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0.029351</w:t>
            </w:r>
          </w:p>
        </w:tc>
      </w:tr>
      <w:tr w:rsidR="00DA05DF" w:rsidRPr="00DA05DF" w14:paraId="47C28D84" w14:textId="77777777" w:rsidTr="00160D14">
        <w:trPr>
          <w:cantSplit/>
          <w:trHeight w:val="20"/>
        </w:trPr>
        <w:tc>
          <w:tcPr>
            <w:tcW w:w="1213"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6693EBD"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Shenandoah</w:t>
            </w:r>
          </w:p>
        </w:tc>
        <w:tc>
          <w:tcPr>
            <w:tcW w:w="1748" w:type="dxa"/>
            <w:tcBorders>
              <w:top w:val="nil"/>
              <w:left w:val="nil"/>
              <w:bottom w:val="nil"/>
              <w:right w:val="nil"/>
            </w:tcBorders>
            <w:shd w:val="clear" w:color="auto" w:fill="auto"/>
            <w:noWrap/>
            <w:vAlign w:val="bottom"/>
            <w:hideMark/>
          </w:tcPr>
          <w:p w14:paraId="5E989DAB"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w:t>
            </w:r>
          </w:p>
        </w:tc>
        <w:tc>
          <w:tcPr>
            <w:tcW w:w="1539" w:type="dxa"/>
            <w:tcBorders>
              <w:top w:val="nil"/>
              <w:left w:val="nil"/>
              <w:bottom w:val="nil"/>
              <w:right w:val="single" w:sz="8" w:space="0" w:color="auto"/>
            </w:tcBorders>
            <w:shd w:val="clear" w:color="auto" w:fill="auto"/>
            <w:noWrap/>
            <w:vAlign w:val="bottom"/>
            <w:hideMark/>
          </w:tcPr>
          <w:p w14:paraId="1FE58E20"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0.223136587</w:t>
            </w:r>
          </w:p>
        </w:tc>
        <w:tc>
          <w:tcPr>
            <w:tcW w:w="1701"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448A35C5" w14:textId="77777777" w:rsidR="00DA05DF" w:rsidRPr="00160D14" w:rsidRDefault="00DA05DF" w:rsidP="00DA05DF">
            <w:pPr>
              <w:spacing w:after="0" w:line="240" w:lineRule="auto"/>
              <w:jc w:val="center"/>
              <w:rPr>
                <w:rFonts w:eastAsia="Times New Roman" w:cs="Times New Roman"/>
                <w:b/>
                <w:bCs/>
                <w:color w:val="000000"/>
              </w:rPr>
            </w:pPr>
            <w:r w:rsidRPr="00160D14">
              <w:rPr>
                <w:rFonts w:eastAsia="Times New Roman" w:cs="Times New Roman"/>
                <w:b/>
                <w:bCs/>
                <w:color w:val="000000"/>
              </w:rPr>
              <w:t>Shenandoah</w:t>
            </w:r>
          </w:p>
        </w:tc>
        <w:tc>
          <w:tcPr>
            <w:tcW w:w="1710" w:type="dxa"/>
            <w:tcBorders>
              <w:top w:val="nil"/>
              <w:left w:val="nil"/>
              <w:bottom w:val="nil"/>
              <w:right w:val="nil"/>
            </w:tcBorders>
            <w:shd w:val="clear" w:color="auto" w:fill="auto"/>
            <w:noWrap/>
            <w:vAlign w:val="bottom"/>
            <w:hideMark/>
          </w:tcPr>
          <w:p w14:paraId="053D9FBC"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Ohio</w:t>
            </w:r>
          </w:p>
        </w:tc>
        <w:tc>
          <w:tcPr>
            <w:tcW w:w="2070" w:type="dxa"/>
            <w:tcBorders>
              <w:top w:val="nil"/>
              <w:left w:val="nil"/>
              <w:bottom w:val="nil"/>
              <w:right w:val="single" w:sz="8" w:space="0" w:color="auto"/>
            </w:tcBorders>
            <w:shd w:val="clear" w:color="auto" w:fill="auto"/>
            <w:noWrap/>
            <w:vAlign w:val="bottom"/>
            <w:hideMark/>
          </w:tcPr>
          <w:p w14:paraId="2825A89E"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0.205847</w:t>
            </w:r>
          </w:p>
        </w:tc>
      </w:tr>
      <w:tr w:rsidR="00DA05DF" w:rsidRPr="00DA05DF" w14:paraId="6F7D8761"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0DBBCBCF"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auto" w:fill="auto"/>
            <w:noWrap/>
            <w:vAlign w:val="bottom"/>
            <w:hideMark/>
          </w:tcPr>
          <w:p w14:paraId="78868948"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PA</w:t>
            </w:r>
          </w:p>
        </w:tc>
        <w:tc>
          <w:tcPr>
            <w:tcW w:w="1539" w:type="dxa"/>
            <w:tcBorders>
              <w:top w:val="nil"/>
              <w:left w:val="nil"/>
              <w:bottom w:val="nil"/>
              <w:right w:val="single" w:sz="8" w:space="0" w:color="auto"/>
            </w:tcBorders>
            <w:shd w:val="clear" w:color="auto" w:fill="auto"/>
            <w:noWrap/>
            <w:vAlign w:val="bottom"/>
            <w:hideMark/>
          </w:tcPr>
          <w:p w14:paraId="5C4D7B20"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0.129388586</w:t>
            </w:r>
          </w:p>
        </w:tc>
        <w:tc>
          <w:tcPr>
            <w:tcW w:w="1701" w:type="dxa"/>
            <w:vMerge/>
            <w:tcBorders>
              <w:top w:val="nil"/>
              <w:left w:val="single" w:sz="8" w:space="0" w:color="auto"/>
              <w:bottom w:val="single" w:sz="8" w:space="0" w:color="000000"/>
              <w:right w:val="nil"/>
            </w:tcBorders>
            <w:vAlign w:val="center"/>
            <w:hideMark/>
          </w:tcPr>
          <w:p w14:paraId="23797117"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auto"/>
            <w:noWrap/>
            <w:vAlign w:val="bottom"/>
            <w:hideMark/>
          </w:tcPr>
          <w:p w14:paraId="04F43981"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Pennsylvania</w:t>
            </w:r>
          </w:p>
        </w:tc>
        <w:tc>
          <w:tcPr>
            <w:tcW w:w="2070" w:type="dxa"/>
            <w:tcBorders>
              <w:top w:val="nil"/>
              <w:left w:val="nil"/>
              <w:bottom w:val="nil"/>
              <w:right w:val="single" w:sz="8" w:space="0" w:color="auto"/>
            </w:tcBorders>
            <w:shd w:val="clear" w:color="auto" w:fill="auto"/>
            <w:noWrap/>
            <w:vAlign w:val="bottom"/>
            <w:hideMark/>
          </w:tcPr>
          <w:p w14:paraId="284EBB8B"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0.14796</w:t>
            </w:r>
          </w:p>
        </w:tc>
      </w:tr>
      <w:tr w:rsidR="00DA05DF" w:rsidRPr="00DA05DF" w14:paraId="1346B7A4"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3DBF83CF"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auto" w:fill="auto"/>
            <w:noWrap/>
            <w:vAlign w:val="bottom"/>
            <w:hideMark/>
          </w:tcPr>
          <w:p w14:paraId="77306181"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w:t>
            </w:r>
          </w:p>
        </w:tc>
        <w:tc>
          <w:tcPr>
            <w:tcW w:w="1539" w:type="dxa"/>
            <w:tcBorders>
              <w:top w:val="nil"/>
              <w:left w:val="nil"/>
              <w:bottom w:val="nil"/>
              <w:right w:val="single" w:sz="8" w:space="0" w:color="auto"/>
            </w:tcBorders>
            <w:shd w:val="clear" w:color="auto" w:fill="auto"/>
            <w:noWrap/>
            <w:vAlign w:val="bottom"/>
            <w:hideMark/>
          </w:tcPr>
          <w:p w14:paraId="161992BE"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0.07666613</w:t>
            </w:r>
          </w:p>
        </w:tc>
        <w:tc>
          <w:tcPr>
            <w:tcW w:w="1701" w:type="dxa"/>
            <w:vMerge/>
            <w:tcBorders>
              <w:top w:val="nil"/>
              <w:left w:val="single" w:sz="8" w:space="0" w:color="auto"/>
              <w:bottom w:val="single" w:sz="8" w:space="0" w:color="000000"/>
              <w:right w:val="nil"/>
            </w:tcBorders>
            <w:vAlign w:val="center"/>
            <w:hideMark/>
          </w:tcPr>
          <w:p w14:paraId="6E1F46AE"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auto"/>
            <w:noWrap/>
            <w:vAlign w:val="bottom"/>
            <w:hideMark/>
          </w:tcPr>
          <w:p w14:paraId="40E7823D"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Indiana</w:t>
            </w:r>
          </w:p>
        </w:tc>
        <w:tc>
          <w:tcPr>
            <w:tcW w:w="2070" w:type="dxa"/>
            <w:tcBorders>
              <w:top w:val="nil"/>
              <w:left w:val="nil"/>
              <w:bottom w:val="nil"/>
              <w:right w:val="single" w:sz="8" w:space="0" w:color="auto"/>
            </w:tcBorders>
            <w:shd w:val="clear" w:color="auto" w:fill="auto"/>
            <w:noWrap/>
            <w:vAlign w:val="bottom"/>
            <w:hideMark/>
          </w:tcPr>
          <w:p w14:paraId="0C7C2FE9"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0.079393</w:t>
            </w:r>
          </w:p>
        </w:tc>
      </w:tr>
      <w:tr w:rsidR="00DA05DF" w:rsidRPr="00DA05DF" w14:paraId="49F24672" w14:textId="77777777" w:rsidTr="002E6924">
        <w:trPr>
          <w:cantSplit/>
          <w:trHeight w:val="20"/>
        </w:trPr>
        <w:tc>
          <w:tcPr>
            <w:tcW w:w="1213" w:type="dxa"/>
            <w:vMerge/>
            <w:tcBorders>
              <w:top w:val="nil"/>
              <w:left w:val="single" w:sz="8" w:space="0" w:color="auto"/>
              <w:bottom w:val="single" w:sz="8" w:space="0" w:color="000000"/>
              <w:right w:val="nil"/>
            </w:tcBorders>
            <w:vAlign w:val="center"/>
            <w:hideMark/>
          </w:tcPr>
          <w:p w14:paraId="1AFFD8AF"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nil"/>
              <w:right w:val="nil"/>
            </w:tcBorders>
            <w:shd w:val="clear" w:color="000000" w:fill="FCE4D6"/>
            <w:noWrap/>
            <w:vAlign w:val="bottom"/>
            <w:hideMark/>
          </w:tcPr>
          <w:p w14:paraId="64287DB3"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WV</w:t>
            </w:r>
          </w:p>
        </w:tc>
        <w:tc>
          <w:tcPr>
            <w:tcW w:w="1539" w:type="dxa"/>
            <w:tcBorders>
              <w:top w:val="nil"/>
              <w:left w:val="nil"/>
              <w:bottom w:val="nil"/>
              <w:right w:val="single" w:sz="8" w:space="0" w:color="auto"/>
            </w:tcBorders>
            <w:shd w:val="clear" w:color="auto" w:fill="auto"/>
            <w:noWrap/>
            <w:vAlign w:val="bottom"/>
            <w:hideMark/>
          </w:tcPr>
          <w:p w14:paraId="006B2ADA"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0.063798543</w:t>
            </w:r>
          </w:p>
        </w:tc>
        <w:tc>
          <w:tcPr>
            <w:tcW w:w="1701" w:type="dxa"/>
            <w:vMerge/>
            <w:tcBorders>
              <w:top w:val="nil"/>
              <w:left w:val="single" w:sz="8" w:space="0" w:color="auto"/>
              <w:bottom w:val="single" w:sz="8" w:space="0" w:color="000000"/>
              <w:right w:val="nil"/>
            </w:tcBorders>
            <w:vAlign w:val="center"/>
            <w:hideMark/>
          </w:tcPr>
          <w:p w14:paraId="2A57931C"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nil"/>
              <w:right w:val="nil"/>
            </w:tcBorders>
            <w:shd w:val="clear" w:color="auto" w:fill="FFFFFF" w:themeFill="background1"/>
            <w:noWrap/>
            <w:vAlign w:val="bottom"/>
            <w:hideMark/>
          </w:tcPr>
          <w:p w14:paraId="7CB36F90"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West Virginia</w:t>
            </w:r>
          </w:p>
        </w:tc>
        <w:tc>
          <w:tcPr>
            <w:tcW w:w="2070" w:type="dxa"/>
            <w:tcBorders>
              <w:top w:val="nil"/>
              <w:left w:val="nil"/>
              <w:bottom w:val="nil"/>
              <w:right w:val="single" w:sz="8" w:space="0" w:color="auto"/>
            </w:tcBorders>
            <w:shd w:val="clear" w:color="auto" w:fill="auto"/>
            <w:noWrap/>
            <w:vAlign w:val="bottom"/>
            <w:hideMark/>
          </w:tcPr>
          <w:p w14:paraId="0ACBDD37"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0.079183</w:t>
            </w:r>
          </w:p>
        </w:tc>
      </w:tr>
      <w:tr w:rsidR="00DA05DF" w:rsidRPr="00DA05DF" w14:paraId="12C5FF12" w14:textId="77777777" w:rsidTr="00160D14">
        <w:trPr>
          <w:cantSplit/>
          <w:trHeight w:val="20"/>
        </w:trPr>
        <w:tc>
          <w:tcPr>
            <w:tcW w:w="1213" w:type="dxa"/>
            <w:vMerge/>
            <w:tcBorders>
              <w:top w:val="nil"/>
              <w:left w:val="single" w:sz="8" w:space="0" w:color="auto"/>
              <w:bottom w:val="single" w:sz="8" w:space="0" w:color="000000"/>
              <w:right w:val="nil"/>
            </w:tcBorders>
            <w:vAlign w:val="center"/>
            <w:hideMark/>
          </w:tcPr>
          <w:p w14:paraId="6E85577B" w14:textId="77777777" w:rsidR="00DA05DF" w:rsidRPr="00160D14" w:rsidRDefault="00DA05DF" w:rsidP="00DA05DF">
            <w:pPr>
              <w:spacing w:after="0" w:line="240" w:lineRule="auto"/>
              <w:rPr>
                <w:rFonts w:eastAsia="Times New Roman" w:cs="Times New Roman"/>
                <w:b/>
                <w:bCs/>
                <w:color w:val="000000"/>
              </w:rPr>
            </w:pPr>
          </w:p>
        </w:tc>
        <w:tc>
          <w:tcPr>
            <w:tcW w:w="1748" w:type="dxa"/>
            <w:tcBorders>
              <w:top w:val="nil"/>
              <w:left w:val="nil"/>
              <w:bottom w:val="single" w:sz="8" w:space="0" w:color="auto"/>
              <w:right w:val="nil"/>
            </w:tcBorders>
            <w:shd w:val="clear" w:color="000000" w:fill="FCE4D6"/>
            <w:noWrap/>
            <w:vAlign w:val="bottom"/>
            <w:hideMark/>
          </w:tcPr>
          <w:p w14:paraId="0C7A023F"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KY</w:t>
            </w:r>
          </w:p>
        </w:tc>
        <w:tc>
          <w:tcPr>
            <w:tcW w:w="1539" w:type="dxa"/>
            <w:tcBorders>
              <w:top w:val="nil"/>
              <w:left w:val="nil"/>
              <w:bottom w:val="single" w:sz="8" w:space="0" w:color="auto"/>
              <w:right w:val="single" w:sz="8" w:space="0" w:color="auto"/>
            </w:tcBorders>
            <w:shd w:val="clear" w:color="auto" w:fill="auto"/>
            <w:noWrap/>
            <w:vAlign w:val="bottom"/>
            <w:hideMark/>
          </w:tcPr>
          <w:p w14:paraId="3FB4E867" w14:textId="77777777" w:rsidR="00DA05DF" w:rsidRPr="00570283" w:rsidRDefault="00DA05DF" w:rsidP="00A573D3">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0.057891393</w:t>
            </w:r>
          </w:p>
        </w:tc>
        <w:tc>
          <w:tcPr>
            <w:tcW w:w="1701" w:type="dxa"/>
            <w:vMerge/>
            <w:tcBorders>
              <w:top w:val="nil"/>
              <w:left w:val="single" w:sz="8" w:space="0" w:color="auto"/>
              <w:bottom w:val="single" w:sz="8" w:space="0" w:color="000000"/>
              <w:right w:val="nil"/>
            </w:tcBorders>
            <w:vAlign w:val="center"/>
            <w:hideMark/>
          </w:tcPr>
          <w:p w14:paraId="1A449621" w14:textId="77777777" w:rsidR="00DA05DF" w:rsidRPr="00160D14" w:rsidRDefault="00DA05DF" w:rsidP="00DA05DF">
            <w:pPr>
              <w:spacing w:after="0" w:line="240" w:lineRule="auto"/>
              <w:rPr>
                <w:rFonts w:eastAsia="Times New Roman" w:cs="Times New Roman"/>
                <w:b/>
                <w:bCs/>
                <w:color w:val="000000"/>
              </w:rPr>
            </w:pPr>
          </w:p>
        </w:tc>
        <w:tc>
          <w:tcPr>
            <w:tcW w:w="1710" w:type="dxa"/>
            <w:tcBorders>
              <w:top w:val="nil"/>
              <w:left w:val="nil"/>
              <w:bottom w:val="single" w:sz="8" w:space="0" w:color="auto"/>
              <w:right w:val="nil"/>
            </w:tcBorders>
            <w:shd w:val="clear" w:color="000000" w:fill="FCE4D6"/>
            <w:noWrap/>
            <w:vAlign w:val="bottom"/>
            <w:hideMark/>
          </w:tcPr>
          <w:p w14:paraId="54403A3E" w14:textId="77777777" w:rsidR="00DA05DF" w:rsidRPr="00570283" w:rsidRDefault="00DA05DF" w:rsidP="00DA05DF">
            <w:pPr>
              <w:spacing w:after="0" w:line="240" w:lineRule="auto"/>
              <w:rPr>
                <w:rFonts w:eastAsia="Times New Roman" w:cs="Times New Roman"/>
                <w:color w:val="000000"/>
                <w:sz w:val="20"/>
                <w:szCs w:val="20"/>
              </w:rPr>
            </w:pPr>
            <w:r w:rsidRPr="00570283">
              <w:rPr>
                <w:rFonts w:eastAsia="Times New Roman" w:cs="Times New Roman"/>
                <w:color w:val="000000"/>
                <w:sz w:val="20"/>
                <w:szCs w:val="20"/>
              </w:rPr>
              <w:t>Virginia</w:t>
            </w:r>
          </w:p>
        </w:tc>
        <w:tc>
          <w:tcPr>
            <w:tcW w:w="2070" w:type="dxa"/>
            <w:tcBorders>
              <w:top w:val="nil"/>
              <w:left w:val="nil"/>
              <w:bottom w:val="single" w:sz="8" w:space="0" w:color="auto"/>
              <w:right w:val="single" w:sz="8" w:space="0" w:color="auto"/>
            </w:tcBorders>
            <w:shd w:val="clear" w:color="auto" w:fill="auto"/>
            <w:noWrap/>
            <w:vAlign w:val="bottom"/>
            <w:hideMark/>
          </w:tcPr>
          <w:p w14:paraId="3F073696" w14:textId="77777777" w:rsidR="00DA05DF" w:rsidRPr="00570283" w:rsidRDefault="00DA05DF" w:rsidP="00DA05DF">
            <w:pPr>
              <w:spacing w:after="0" w:line="240" w:lineRule="auto"/>
              <w:jc w:val="right"/>
              <w:rPr>
                <w:rFonts w:eastAsia="Times New Roman" w:cs="Times New Roman"/>
                <w:color w:val="000000"/>
                <w:sz w:val="20"/>
                <w:szCs w:val="20"/>
              </w:rPr>
            </w:pPr>
            <w:r w:rsidRPr="00570283">
              <w:rPr>
                <w:rFonts w:eastAsia="Times New Roman" w:cs="Times New Roman"/>
                <w:color w:val="000000"/>
                <w:sz w:val="20"/>
                <w:szCs w:val="20"/>
              </w:rPr>
              <w:t>0.068504</w:t>
            </w:r>
          </w:p>
        </w:tc>
      </w:tr>
    </w:tbl>
    <w:p w14:paraId="50D72291" w14:textId="77777777" w:rsidR="00DA05DF" w:rsidRDefault="00DA05DF" w:rsidP="004A4EB2"/>
    <w:p w14:paraId="6855E406" w14:textId="77777777" w:rsidR="00D01AA5" w:rsidRDefault="00D01AA5" w:rsidP="004A4EB2">
      <w:pPr>
        <w:rPr>
          <w:noProof/>
        </w:rPr>
      </w:pPr>
    </w:p>
    <w:p w14:paraId="4219A1BB" w14:textId="64F5D662" w:rsidR="00D01AA5" w:rsidRDefault="00D01AA5" w:rsidP="00D01AA5">
      <w:pPr>
        <w:pStyle w:val="Caption"/>
        <w:keepNext/>
      </w:pPr>
      <w:bookmarkStart w:id="18" w:name="_Ref447092681"/>
      <w:bookmarkStart w:id="19" w:name="_Toc447733826"/>
      <w:r>
        <w:t xml:space="preserve">Figure </w:t>
      </w:r>
      <w:r w:rsidR="002B14BC">
        <w:fldChar w:fldCharType="begin"/>
      </w:r>
      <w:r w:rsidR="002B14BC">
        <w:instrText xml:space="preserve"> SEQ Figure \* ARABIC </w:instrText>
      </w:r>
      <w:r w:rsidR="002B14BC">
        <w:fldChar w:fldCharType="separate"/>
      </w:r>
      <w:r w:rsidR="004C7E13">
        <w:rPr>
          <w:noProof/>
        </w:rPr>
        <w:t>3</w:t>
      </w:r>
      <w:r w:rsidR="002B14BC">
        <w:rPr>
          <w:noProof/>
        </w:rPr>
        <w:fldChar w:fldCharType="end"/>
      </w:r>
      <w:bookmarkEnd w:id="18"/>
      <w:r>
        <w:t>. Wind Sector Constants and the State Total Emissions and the Locations</w:t>
      </w:r>
      <w:bookmarkEnd w:id="19"/>
    </w:p>
    <w:p w14:paraId="6C5E5DD2" w14:textId="77777777" w:rsidR="00D01AA5" w:rsidRDefault="00D01AA5" w:rsidP="004A4EB2">
      <w:r>
        <w:rPr>
          <w:noProof/>
        </w:rPr>
        <w:drawing>
          <wp:inline distT="0" distB="0" distL="0" distR="0" wp14:anchorId="72E5CFAE" wp14:editId="147D715C">
            <wp:extent cx="4572000" cy="3385457"/>
            <wp:effectExtent l="19050" t="19050" r="1905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D_Brig withStateTotals.png"/>
                    <pic:cNvPicPr/>
                  </pic:nvPicPr>
                  <pic:blipFill rotWithShape="1">
                    <a:blip r:embed="rId14" cstate="print">
                      <a:extLst>
                        <a:ext uri="{28A0092B-C50C-407E-A947-70E740481C1C}">
                          <a14:useLocalDpi xmlns:a14="http://schemas.microsoft.com/office/drawing/2010/main" val="0"/>
                        </a:ext>
                      </a:extLst>
                    </a:blip>
                    <a:srcRect l="11859" t="17203" r="20834" b="9505"/>
                    <a:stretch/>
                  </pic:blipFill>
                  <pic:spPr bwMode="auto">
                    <a:xfrm>
                      <a:off x="0" y="0"/>
                      <a:ext cx="4572000" cy="33854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FD5CCE" w14:textId="442C2289" w:rsidR="00D01AA5" w:rsidRDefault="00D01AA5" w:rsidP="00D01AA5">
      <w:pPr>
        <w:pStyle w:val="Caption"/>
        <w:keepNext/>
      </w:pPr>
      <w:bookmarkStart w:id="20" w:name="_Ref447092682"/>
      <w:bookmarkStart w:id="21" w:name="_Toc447733827"/>
      <w:r>
        <w:t xml:space="preserve">Figure </w:t>
      </w:r>
      <w:r w:rsidR="002B14BC">
        <w:fldChar w:fldCharType="begin"/>
      </w:r>
      <w:r w:rsidR="002B14BC">
        <w:instrText xml:space="preserve"> SEQ Figure \* ARABIC </w:instrText>
      </w:r>
      <w:r w:rsidR="002B14BC">
        <w:fldChar w:fldCharType="separate"/>
      </w:r>
      <w:r w:rsidR="004C7E13">
        <w:rPr>
          <w:noProof/>
        </w:rPr>
        <w:t>4</w:t>
      </w:r>
      <w:r w:rsidR="002B14BC">
        <w:rPr>
          <w:noProof/>
        </w:rPr>
        <w:fldChar w:fldCharType="end"/>
      </w:r>
      <w:bookmarkEnd w:id="20"/>
      <w:r>
        <w:t>. Wind Vectors Point Source Emissions and Their Locations</w:t>
      </w:r>
      <w:r w:rsidR="00370452">
        <w:t xml:space="preserve"> (2011 Emissions)</w:t>
      </w:r>
      <w:bookmarkEnd w:id="21"/>
    </w:p>
    <w:p w14:paraId="3AAF705E" w14:textId="52B0E9E3" w:rsidR="008C0BBB" w:rsidRDefault="00D01AA5" w:rsidP="008C0BBB">
      <w:r>
        <w:rPr>
          <w:noProof/>
        </w:rPr>
        <w:drawing>
          <wp:inline distT="0" distB="0" distL="0" distR="0" wp14:anchorId="13F089FD" wp14:editId="4A861FDE">
            <wp:extent cx="4572000" cy="3518647"/>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D_BrigPoint only.png"/>
                    <pic:cNvPicPr/>
                  </pic:nvPicPr>
                  <pic:blipFill rotWithShape="1">
                    <a:blip r:embed="rId15" cstate="print">
                      <a:extLst>
                        <a:ext uri="{28A0092B-C50C-407E-A947-70E740481C1C}">
                          <a14:useLocalDpi xmlns:a14="http://schemas.microsoft.com/office/drawing/2010/main" val="0"/>
                        </a:ext>
                      </a:extLst>
                    </a:blip>
                    <a:srcRect l="11859" t="16968" r="22756" b="9033"/>
                    <a:stretch/>
                  </pic:blipFill>
                  <pic:spPr bwMode="auto">
                    <a:xfrm>
                      <a:off x="0" y="0"/>
                      <a:ext cx="4572000" cy="35186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76CB64" w14:textId="4F348DE6" w:rsidR="00867781" w:rsidRDefault="00867781" w:rsidP="00CF3E0F">
      <w:pPr>
        <w:pStyle w:val="Heading3"/>
      </w:pPr>
    </w:p>
    <w:p w14:paraId="78783C03" w14:textId="0CE5503D" w:rsidR="00CF3E0F" w:rsidRDefault="00CF3E0F" w:rsidP="00CF3E0F">
      <w:pPr>
        <w:pStyle w:val="Heading3"/>
      </w:pPr>
      <w:bookmarkStart w:id="22" w:name="_Toc447733822"/>
      <w:r>
        <w:t>Projected 2018 Contribution Estimates</w:t>
      </w:r>
      <w:bookmarkEnd w:id="22"/>
    </w:p>
    <w:p w14:paraId="37A34044" w14:textId="7C248567" w:rsidR="00CF3E0F" w:rsidRDefault="003A2C39" w:rsidP="00CF3E0F">
      <w:r>
        <w:t xml:space="preserve">The point contribution analysis was repeated for the point sector of the MARAMA </w:t>
      </w:r>
      <w:r w:rsidR="008B01C6">
        <w:t>α</w:t>
      </w:r>
      <w:r>
        <w:t>2 2018 inventory. T</w:t>
      </w:r>
      <w:r w:rsidR="002510C3">
        <w:t>he purpose of t</w:t>
      </w:r>
      <w:r>
        <w:t xml:space="preserve">his analysis </w:t>
      </w:r>
      <w:r w:rsidR="002510C3">
        <w:t>is to calculate a</w:t>
      </w:r>
      <w:r>
        <w:t xml:space="preserve"> best estimate of with our most </w:t>
      </w:r>
      <w:r w:rsidR="000764D1">
        <w:t xml:space="preserve">current understanding of the “start” year for the next regional haze SIP. Thereby reducing the efforts to further analyzed </w:t>
      </w:r>
      <w:r w:rsidR="00D42B24">
        <w:t>sources, which</w:t>
      </w:r>
      <w:r w:rsidR="000764D1">
        <w:t xml:space="preserve"> are known to significantly reduce emissions or no longer exist</w:t>
      </w:r>
      <w:r w:rsidR="00D42B24">
        <w:t xml:space="preserve"> by 2018</w:t>
      </w:r>
      <w:r w:rsidR="000764D1">
        <w:t xml:space="preserve">. </w:t>
      </w:r>
      <w:r w:rsidR="005745C6">
        <w:t xml:space="preserve">The summation of the individual contributions by state resulted in an overall decrease in the total contributions by 2018 </w:t>
      </w:r>
      <w:r w:rsidR="00D42B24">
        <w:t xml:space="preserve">and the relative rankings did reshuffle for 2018, </w:t>
      </w:r>
      <w:r w:rsidR="005745C6">
        <w:t xml:space="preserve">see </w:t>
      </w:r>
      <w:r w:rsidR="0046507E">
        <w:fldChar w:fldCharType="begin"/>
      </w:r>
      <w:r w:rsidR="0046507E">
        <w:instrText xml:space="preserve"> REF _Ref447092650 \h </w:instrText>
      </w:r>
      <w:r w:rsidR="0046507E">
        <w:fldChar w:fldCharType="separate"/>
      </w:r>
      <w:r w:rsidR="00EC31AC">
        <w:t xml:space="preserve">Table </w:t>
      </w:r>
      <w:r w:rsidR="00EC31AC">
        <w:rPr>
          <w:noProof/>
        </w:rPr>
        <w:t>4</w:t>
      </w:r>
      <w:r w:rsidR="0046507E">
        <w:fldChar w:fldCharType="end"/>
      </w:r>
      <w:r w:rsidR="0046507E">
        <w:t xml:space="preserve"> </w:t>
      </w:r>
      <w:r w:rsidR="005745C6">
        <w:t xml:space="preserve">below. </w:t>
      </w:r>
    </w:p>
    <w:p w14:paraId="4930D3E4" w14:textId="3005A62A" w:rsidR="00EB58A9" w:rsidRDefault="00EB58A9" w:rsidP="00EB58A9">
      <w:pPr>
        <w:pStyle w:val="Caption"/>
        <w:keepNext/>
      </w:pPr>
      <w:bookmarkStart w:id="23" w:name="_Ref447092650"/>
      <w:bookmarkStart w:id="24" w:name="_Toc447733837"/>
      <w:r>
        <w:t xml:space="preserve">Table </w:t>
      </w:r>
      <w:r w:rsidR="002B14BC">
        <w:fldChar w:fldCharType="begin"/>
      </w:r>
      <w:r w:rsidR="002B14BC">
        <w:instrText xml:space="preserve"> SEQ Table \* ARABIC </w:instrText>
      </w:r>
      <w:r w:rsidR="002B14BC">
        <w:fldChar w:fldCharType="separate"/>
      </w:r>
      <w:r w:rsidR="00EC31AC">
        <w:rPr>
          <w:noProof/>
        </w:rPr>
        <w:t>4</w:t>
      </w:r>
      <w:r w:rsidR="002B14BC">
        <w:rPr>
          <w:noProof/>
        </w:rPr>
        <w:fldChar w:fldCharType="end"/>
      </w:r>
      <w:bookmarkEnd w:id="23"/>
      <w:r>
        <w:t>. State</w:t>
      </w:r>
      <w:r w:rsidR="00A70A1D">
        <w:t>s with the Five</w:t>
      </w:r>
      <w:r>
        <w:t xml:space="preserve"> Greatest Point Contributions in 2011 and Projected for 2018</w:t>
      </w:r>
      <w:bookmarkEnd w:id="24"/>
    </w:p>
    <w:tbl>
      <w:tblPr>
        <w:tblW w:w="9260" w:type="dxa"/>
        <w:tblCellMar>
          <w:left w:w="58" w:type="dxa"/>
          <w:right w:w="58" w:type="dxa"/>
        </w:tblCellMar>
        <w:tblLook w:val="04A0" w:firstRow="1" w:lastRow="0" w:firstColumn="1" w:lastColumn="0" w:noHBand="0" w:noVBand="1"/>
      </w:tblPr>
      <w:tblGrid>
        <w:gridCol w:w="3720"/>
        <w:gridCol w:w="820"/>
        <w:gridCol w:w="1005"/>
        <w:gridCol w:w="1241"/>
        <w:gridCol w:w="1214"/>
        <w:gridCol w:w="1260"/>
      </w:tblGrid>
      <w:tr w:rsidR="005745C6" w:rsidRPr="005745C6" w14:paraId="7DAA22BD" w14:textId="77777777" w:rsidTr="00867781">
        <w:trPr>
          <w:trHeight w:val="220"/>
          <w:tblHeader/>
        </w:trPr>
        <w:tc>
          <w:tcPr>
            <w:tcW w:w="4540" w:type="dxa"/>
            <w:gridSpan w:val="2"/>
            <w:tcBorders>
              <w:top w:val="single" w:sz="8" w:space="0" w:color="auto"/>
              <w:left w:val="single" w:sz="8" w:space="0" w:color="auto"/>
              <w:bottom w:val="nil"/>
              <w:right w:val="single" w:sz="4" w:space="0" w:color="auto"/>
            </w:tcBorders>
            <w:shd w:val="clear" w:color="auto" w:fill="auto"/>
            <w:tcMar>
              <w:left w:w="58" w:type="dxa"/>
              <w:right w:w="58" w:type="dxa"/>
            </w:tcMar>
            <w:hideMark/>
          </w:tcPr>
          <w:p w14:paraId="4E7BEB4B" w14:textId="56C7BB18" w:rsidR="005745C6" w:rsidRPr="0046507E" w:rsidRDefault="005745C6" w:rsidP="00570283">
            <w:pPr>
              <w:spacing w:after="0" w:line="240" w:lineRule="auto"/>
              <w:rPr>
                <w:rFonts w:eastAsia="Times New Roman" w:cs="Times New Roman"/>
                <w:b/>
                <w:color w:val="000000"/>
                <w:sz w:val="18"/>
                <w:szCs w:val="18"/>
              </w:rPr>
            </w:pPr>
          </w:p>
        </w:tc>
        <w:tc>
          <w:tcPr>
            <w:tcW w:w="2246" w:type="dxa"/>
            <w:gridSpan w:val="2"/>
            <w:tcBorders>
              <w:top w:val="single" w:sz="8" w:space="0" w:color="auto"/>
              <w:left w:val="single" w:sz="4" w:space="0" w:color="auto"/>
              <w:bottom w:val="nil"/>
              <w:right w:val="single" w:sz="8" w:space="0" w:color="000000"/>
            </w:tcBorders>
            <w:shd w:val="clear" w:color="auto" w:fill="auto"/>
            <w:tcMar>
              <w:left w:w="58" w:type="dxa"/>
              <w:right w:w="58" w:type="dxa"/>
            </w:tcMar>
            <w:hideMark/>
          </w:tcPr>
          <w:p w14:paraId="02FE72F1" w14:textId="450CEBB5" w:rsidR="005745C6" w:rsidRPr="0046507E" w:rsidRDefault="00570283" w:rsidP="00570283">
            <w:pPr>
              <w:spacing w:after="0" w:line="240" w:lineRule="auto"/>
              <w:jc w:val="center"/>
              <w:rPr>
                <w:rFonts w:eastAsia="Times New Roman" w:cs="Times New Roman"/>
                <w:b/>
                <w:bCs/>
                <w:color w:val="000000"/>
                <w:sz w:val="18"/>
                <w:szCs w:val="28"/>
              </w:rPr>
            </w:pPr>
            <w:r w:rsidRPr="0046507E">
              <w:rPr>
                <w:rFonts w:eastAsia="Times New Roman" w:cs="Times New Roman"/>
                <w:b/>
                <w:bCs/>
                <w:color w:val="000000"/>
                <w:sz w:val="18"/>
                <w:szCs w:val="28"/>
              </w:rPr>
              <w:t>2011*</w:t>
            </w:r>
          </w:p>
        </w:tc>
        <w:tc>
          <w:tcPr>
            <w:tcW w:w="2474" w:type="dxa"/>
            <w:gridSpan w:val="2"/>
            <w:tcBorders>
              <w:top w:val="single" w:sz="8" w:space="0" w:color="auto"/>
              <w:left w:val="single" w:sz="8" w:space="0" w:color="auto"/>
              <w:bottom w:val="nil"/>
              <w:right w:val="single" w:sz="8" w:space="0" w:color="000000"/>
            </w:tcBorders>
            <w:shd w:val="clear" w:color="auto" w:fill="auto"/>
            <w:tcMar>
              <w:left w:w="58" w:type="dxa"/>
              <w:right w:w="58" w:type="dxa"/>
            </w:tcMar>
            <w:hideMark/>
          </w:tcPr>
          <w:p w14:paraId="768C4118" w14:textId="6424A167" w:rsidR="005745C6" w:rsidRPr="0046507E" w:rsidRDefault="005745C6" w:rsidP="00570283">
            <w:pPr>
              <w:spacing w:after="0" w:line="240" w:lineRule="auto"/>
              <w:jc w:val="center"/>
              <w:rPr>
                <w:rFonts w:eastAsia="Times New Roman" w:cs="Times New Roman"/>
                <w:b/>
                <w:bCs/>
                <w:color w:val="000000"/>
                <w:sz w:val="18"/>
                <w:szCs w:val="28"/>
              </w:rPr>
            </w:pPr>
            <w:r w:rsidRPr="0046507E">
              <w:rPr>
                <w:rFonts w:eastAsia="Times New Roman" w:cs="Times New Roman"/>
                <w:b/>
                <w:bCs/>
                <w:color w:val="000000"/>
                <w:sz w:val="18"/>
                <w:szCs w:val="28"/>
              </w:rPr>
              <w:t>2018*</w:t>
            </w:r>
          </w:p>
        </w:tc>
      </w:tr>
      <w:tr w:rsidR="00EE4EB6" w:rsidRPr="005745C6" w14:paraId="7A7BD9DC" w14:textId="77777777" w:rsidTr="00867781">
        <w:trPr>
          <w:trHeight w:val="80"/>
          <w:tblHeader/>
        </w:trPr>
        <w:tc>
          <w:tcPr>
            <w:tcW w:w="3720" w:type="dxa"/>
            <w:tcBorders>
              <w:top w:val="nil"/>
              <w:left w:val="single" w:sz="8" w:space="0" w:color="auto"/>
              <w:bottom w:val="nil"/>
              <w:right w:val="nil"/>
            </w:tcBorders>
            <w:shd w:val="clear" w:color="auto" w:fill="auto"/>
            <w:noWrap/>
            <w:tcMar>
              <w:left w:w="58" w:type="dxa"/>
              <w:right w:w="58" w:type="dxa"/>
            </w:tcMar>
            <w:vAlign w:val="bottom"/>
            <w:hideMark/>
          </w:tcPr>
          <w:p w14:paraId="594F5738" w14:textId="77777777" w:rsidR="00EE4EB6" w:rsidRPr="0046507E" w:rsidRDefault="00EE4EB6" w:rsidP="00EE4EB6">
            <w:pPr>
              <w:spacing w:after="0" w:line="240" w:lineRule="auto"/>
              <w:rPr>
                <w:rFonts w:eastAsia="Times New Roman" w:cs="Times New Roman"/>
                <w:b/>
                <w:color w:val="000000"/>
                <w:sz w:val="18"/>
              </w:rPr>
            </w:pPr>
            <w:r w:rsidRPr="0046507E">
              <w:rPr>
                <w:rFonts w:eastAsia="Times New Roman" w:cs="Times New Roman"/>
                <w:b/>
                <w:color w:val="000000"/>
                <w:sz w:val="18"/>
              </w:rPr>
              <w:t>Receptor</w:t>
            </w:r>
          </w:p>
        </w:tc>
        <w:tc>
          <w:tcPr>
            <w:tcW w:w="820" w:type="dxa"/>
            <w:tcBorders>
              <w:top w:val="nil"/>
              <w:left w:val="nil"/>
              <w:bottom w:val="nil"/>
              <w:right w:val="single" w:sz="4" w:space="0" w:color="auto"/>
            </w:tcBorders>
            <w:shd w:val="clear" w:color="auto" w:fill="auto"/>
            <w:noWrap/>
            <w:tcMar>
              <w:left w:w="58" w:type="dxa"/>
              <w:right w:w="58" w:type="dxa"/>
            </w:tcMar>
            <w:vAlign w:val="bottom"/>
            <w:hideMark/>
          </w:tcPr>
          <w:p w14:paraId="53D1F4D5" w14:textId="77777777" w:rsidR="00EE4EB6" w:rsidRPr="0046507E" w:rsidRDefault="00EE4EB6" w:rsidP="00EE4EB6">
            <w:pPr>
              <w:spacing w:after="0" w:line="240" w:lineRule="auto"/>
              <w:rPr>
                <w:rFonts w:eastAsia="Times New Roman" w:cs="Times New Roman"/>
                <w:b/>
                <w:color w:val="000000"/>
                <w:sz w:val="18"/>
              </w:rPr>
            </w:pPr>
            <w:r w:rsidRPr="0046507E">
              <w:rPr>
                <w:rFonts w:eastAsia="Times New Roman" w:cs="Times New Roman"/>
                <w:b/>
                <w:color w:val="000000"/>
                <w:sz w:val="18"/>
              </w:rPr>
              <w:t>Rank</w:t>
            </w:r>
          </w:p>
        </w:tc>
        <w:tc>
          <w:tcPr>
            <w:tcW w:w="1005" w:type="dxa"/>
            <w:tcBorders>
              <w:top w:val="nil"/>
              <w:left w:val="single" w:sz="4" w:space="0" w:color="auto"/>
              <w:bottom w:val="nil"/>
              <w:right w:val="nil"/>
            </w:tcBorders>
            <w:shd w:val="clear" w:color="auto" w:fill="auto"/>
            <w:noWrap/>
            <w:tcMar>
              <w:left w:w="58" w:type="dxa"/>
              <w:right w:w="58" w:type="dxa"/>
            </w:tcMar>
            <w:vAlign w:val="bottom"/>
            <w:hideMark/>
          </w:tcPr>
          <w:p w14:paraId="38AA6207" w14:textId="77777777" w:rsidR="00EE4EB6" w:rsidRPr="0046507E" w:rsidRDefault="00EE4EB6" w:rsidP="00EE4EB6">
            <w:pPr>
              <w:spacing w:after="0" w:line="240" w:lineRule="auto"/>
              <w:rPr>
                <w:rFonts w:eastAsia="Times New Roman" w:cs="Times New Roman"/>
                <w:b/>
                <w:color w:val="000000"/>
                <w:sz w:val="18"/>
              </w:rPr>
            </w:pPr>
            <w:r w:rsidRPr="0046507E">
              <w:rPr>
                <w:rFonts w:eastAsia="Times New Roman" w:cs="Times New Roman"/>
                <w:b/>
                <w:color w:val="000000"/>
                <w:sz w:val="18"/>
              </w:rPr>
              <w:t xml:space="preserve">State </w:t>
            </w:r>
          </w:p>
        </w:tc>
        <w:tc>
          <w:tcPr>
            <w:tcW w:w="1241" w:type="dxa"/>
            <w:tcBorders>
              <w:top w:val="nil"/>
              <w:left w:val="nil"/>
              <w:bottom w:val="nil"/>
              <w:right w:val="single" w:sz="8" w:space="0" w:color="auto"/>
            </w:tcBorders>
            <w:shd w:val="clear" w:color="auto" w:fill="auto"/>
            <w:noWrap/>
            <w:tcMar>
              <w:left w:w="58" w:type="dxa"/>
              <w:right w:w="58" w:type="dxa"/>
            </w:tcMar>
            <w:vAlign w:val="bottom"/>
            <w:hideMark/>
          </w:tcPr>
          <w:p w14:paraId="7B7F676D" w14:textId="77777777" w:rsidR="00EE4EB6" w:rsidRPr="0046507E" w:rsidRDefault="00EE4EB6" w:rsidP="00EE4EB6">
            <w:pPr>
              <w:spacing w:after="0" w:line="240" w:lineRule="auto"/>
              <w:rPr>
                <w:rFonts w:eastAsia="Times New Roman" w:cs="Times New Roman"/>
                <w:b/>
                <w:color w:val="000000"/>
                <w:sz w:val="18"/>
              </w:rPr>
            </w:pPr>
            <w:r w:rsidRPr="0046507E">
              <w:rPr>
                <w:rFonts w:eastAsia="Times New Roman" w:cs="Times New Roman"/>
                <w:b/>
                <w:color w:val="000000"/>
                <w:sz w:val="18"/>
              </w:rPr>
              <w:t>Contribution</w:t>
            </w:r>
          </w:p>
        </w:tc>
        <w:tc>
          <w:tcPr>
            <w:tcW w:w="1214" w:type="dxa"/>
            <w:tcBorders>
              <w:top w:val="nil"/>
              <w:left w:val="nil"/>
              <w:bottom w:val="nil"/>
              <w:right w:val="nil"/>
            </w:tcBorders>
            <w:shd w:val="clear" w:color="auto" w:fill="auto"/>
            <w:noWrap/>
            <w:tcMar>
              <w:left w:w="58" w:type="dxa"/>
              <w:right w:w="58" w:type="dxa"/>
            </w:tcMar>
            <w:vAlign w:val="bottom"/>
            <w:hideMark/>
          </w:tcPr>
          <w:p w14:paraId="61AFCC56" w14:textId="40DDED8E" w:rsidR="00EE4EB6" w:rsidRPr="0046507E" w:rsidRDefault="00EE4EB6" w:rsidP="00EE4EB6">
            <w:pPr>
              <w:spacing w:after="0" w:line="240" w:lineRule="auto"/>
              <w:rPr>
                <w:rFonts w:eastAsia="Times New Roman" w:cs="Times New Roman"/>
                <w:b/>
                <w:color w:val="000000"/>
                <w:sz w:val="18"/>
              </w:rPr>
            </w:pPr>
            <w:r>
              <w:rPr>
                <w:rFonts w:ascii="Calibri" w:hAnsi="Calibri"/>
                <w:color w:val="000000"/>
              </w:rPr>
              <w:t xml:space="preserve">State </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303EF64E" w14:textId="223F26A6" w:rsidR="00EE4EB6" w:rsidRPr="0046507E" w:rsidRDefault="00EE4EB6" w:rsidP="00EE4EB6">
            <w:pPr>
              <w:spacing w:after="0" w:line="240" w:lineRule="auto"/>
              <w:rPr>
                <w:rFonts w:eastAsia="Times New Roman" w:cs="Times New Roman"/>
                <w:b/>
                <w:color w:val="000000"/>
                <w:sz w:val="18"/>
              </w:rPr>
            </w:pPr>
            <w:r>
              <w:rPr>
                <w:rFonts w:ascii="Calibri" w:hAnsi="Calibri"/>
                <w:color w:val="000000"/>
              </w:rPr>
              <w:t>Contribution</w:t>
            </w:r>
          </w:p>
        </w:tc>
      </w:tr>
      <w:tr w:rsidR="00EE4EB6" w:rsidRPr="005745C6" w14:paraId="3C95320F" w14:textId="77777777" w:rsidTr="00367BAD">
        <w:trPr>
          <w:cantSplit/>
          <w:trHeight w:val="58"/>
        </w:trPr>
        <w:tc>
          <w:tcPr>
            <w:tcW w:w="3720" w:type="dxa"/>
            <w:vMerge w:val="restart"/>
            <w:tcBorders>
              <w:top w:val="single" w:sz="8" w:space="0" w:color="auto"/>
              <w:left w:val="single" w:sz="8" w:space="0" w:color="auto"/>
              <w:bottom w:val="single" w:sz="8" w:space="0" w:color="000000"/>
              <w:right w:val="nil"/>
            </w:tcBorders>
            <w:shd w:val="clear" w:color="auto" w:fill="auto"/>
            <w:noWrap/>
            <w:tcMar>
              <w:left w:w="58" w:type="dxa"/>
              <w:right w:w="58" w:type="dxa"/>
            </w:tcMar>
            <w:textDirection w:val="btLr"/>
            <w:vAlign w:val="center"/>
            <w:hideMark/>
          </w:tcPr>
          <w:p w14:paraId="7C61D0B8" w14:textId="77777777" w:rsidR="00EE4EB6" w:rsidRPr="005745C6" w:rsidRDefault="00EE4EB6" w:rsidP="00EE4EB6">
            <w:pPr>
              <w:spacing w:after="0" w:line="240" w:lineRule="auto"/>
              <w:jc w:val="center"/>
              <w:rPr>
                <w:rFonts w:eastAsia="Times New Roman" w:cs="Times New Roman"/>
                <w:b/>
                <w:bCs/>
                <w:color w:val="000000"/>
                <w:sz w:val="18"/>
                <w:szCs w:val="28"/>
              </w:rPr>
            </w:pPr>
            <w:r w:rsidRPr="005745C6">
              <w:rPr>
                <w:rFonts w:eastAsia="Times New Roman" w:cs="Times New Roman"/>
                <w:b/>
                <w:bCs/>
                <w:color w:val="000000"/>
                <w:sz w:val="18"/>
                <w:szCs w:val="28"/>
              </w:rPr>
              <w:t>Acadia</w:t>
            </w:r>
          </w:p>
        </w:tc>
        <w:tc>
          <w:tcPr>
            <w:tcW w:w="820" w:type="dxa"/>
            <w:tcBorders>
              <w:top w:val="single" w:sz="8" w:space="0" w:color="auto"/>
              <w:left w:val="nil"/>
              <w:bottom w:val="nil"/>
              <w:right w:val="single" w:sz="4" w:space="0" w:color="auto"/>
            </w:tcBorders>
            <w:shd w:val="clear" w:color="auto" w:fill="auto"/>
            <w:noWrap/>
            <w:tcMar>
              <w:left w:w="58" w:type="dxa"/>
              <w:right w:w="58" w:type="dxa"/>
            </w:tcMar>
            <w:vAlign w:val="center"/>
            <w:hideMark/>
          </w:tcPr>
          <w:p w14:paraId="4F91102A"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1</w:t>
            </w:r>
          </w:p>
        </w:tc>
        <w:tc>
          <w:tcPr>
            <w:tcW w:w="1005" w:type="dxa"/>
            <w:tcBorders>
              <w:top w:val="single" w:sz="8" w:space="0" w:color="auto"/>
              <w:left w:val="single" w:sz="4" w:space="0" w:color="auto"/>
              <w:bottom w:val="nil"/>
              <w:right w:val="nil"/>
            </w:tcBorders>
            <w:shd w:val="clear" w:color="auto" w:fill="auto"/>
            <w:noWrap/>
            <w:tcMar>
              <w:left w:w="58" w:type="dxa"/>
              <w:right w:w="58" w:type="dxa"/>
            </w:tcMar>
            <w:vAlign w:val="center"/>
            <w:hideMark/>
          </w:tcPr>
          <w:p w14:paraId="0B25F5B3"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OH</w:t>
            </w:r>
          </w:p>
        </w:tc>
        <w:tc>
          <w:tcPr>
            <w:tcW w:w="1241" w:type="dxa"/>
            <w:tcBorders>
              <w:top w:val="single" w:sz="8" w:space="0" w:color="auto"/>
              <w:left w:val="nil"/>
              <w:bottom w:val="nil"/>
              <w:right w:val="nil"/>
            </w:tcBorders>
            <w:shd w:val="clear" w:color="auto" w:fill="auto"/>
            <w:noWrap/>
            <w:tcMar>
              <w:left w:w="58" w:type="dxa"/>
              <w:right w:w="58" w:type="dxa"/>
            </w:tcMar>
            <w:vAlign w:val="center"/>
            <w:hideMark/>
          </w:tcPr>
          <w:p w14:paraId="4A4F90B8"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0.091941355</w:t>
            </w:r>
          </w:p>
        </w:tc>
        <w:tc>
          <w:tcPr>
            <w:tcW w:w="1214" w:type="dxa"/>
            <w:tcBorders>
              <w:top w:val="single" w:sz="8" w:space="0" w:color="auto"/>
              <w:left w:val="single" w:sz="8" w:space="0" w:color="auto"/>
              <w:bottom w:val="nil"/>
              <w:right w:val="nil"/>
            </w:tcBorders>
            <w:shd w:val="clear" w:color="auto" w:fill="auto"/>
            <w:noWrap/>
            <w:tcMar>
              <w:left w:w="58" w:type="dxa"/>
              <w:right w:w="58" w:type="dxa"/>
            </w:tcMar>
            <w:vAlign w:val="bottom"/>
            <w:hideMark/>
          </w:tcPr>
          <w:p w14:paraId="696FC1A0" w14:textId="6B42A4ED"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PA</w:t>
            </w:r>
          </w:p>
        </w:tc>
        <w:tc>
          <w:tcPr>
            <w:tcW w:w="1260" w:type="dxa"/>
            <w:tcBorders>
              <w:top w:val="single" w:sz="8" w:space="0" w:color="auto"/>
              <w:left w:val="nil"/>
              <w:bottom w:val="nil"/>
              <w:right w:val="single" w:sz="8" w:space="0" w:color="auto"/>
            </w:tcBorders>
            <w:shd w:val="clear" w:color="auto" w:fill="auto"/>
            <w:noWrap/>
            <w:tcMar>
              <w:left w:w="58" w:type="dxa"/>
              <w:right w:w="58" w:type="dxa"/>
            </w:tcMar>
            <w:vAlign w:val="bottom"/>
            <w:hideMark/>
          </w:tcPr>
          <w:p w14:paraId="7F640EB5" w14:textId="7258BA84"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0.03442676</w:t>
            </w:r>
          </w:p>
        </w:tc>
      </w:tr>
      <w:tr w:rsidR="00EE4EB6" w:rsidRPr="005745C6" w14:paraId="513CB587" w14:textId="77777777" w:rsidTr="00367BAD">
        <w:trPr>
          <w:cantSplit/>
          <w:trHeight w:val="58"/>
        </w:trPr>
        <w:tc>
          <w:tcPr>
            <w:tcW w:w="3720" w:type="dxa"/>
            <w:vMerge/>
            <w:tcBorders>
              <w:top w:val="single" w:sz="8" w:space="0" w:color="auto"/>
              <w:left w:val="single" w:sz="8" w:space="0" w:color="auto"/>
              <w:bottom w:val="single" w:sz="8" w:space="0" w:color="000000"/>
              <w:right w:val="nil"/>
            </w:tcBorders>
            <w:tcMar>
              <w:left w:w="58" w:type="dxa"/>
              <w:right w:w="58" w:type="dxa"/>
            </w:tcMar>
            <w:vAlign w:val="center"/>
            <w:hideMark/>
          </w:tcPr>
          <w:p w14:paraId="42AE507A"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345228CB"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2</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4EF3D0BB"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PA</w:t>
            </w:r>
          </w:p>
        </w:tc>
        <w:tc>
          <w:tcPr>
            <w:tcW w:w="1241" w:type="dxa"/>
            <w:tcBorders>
              <w:top w:val="nil"/>
              <w:left w:val="nil"/>
              <w:bottom w:val="nil"/>
              <w:right w:val="nil"/>
            </w:tcBorders>
            <w:shd w:val="clear" w:color="auto" w:fill="auto"/>
            <w:noWrap/>
            <w:tcMar>
              <w:left w:w="58" w:type="dxa"/>
              <w:right w:w="58" w:type="dxa"/>
            </w:tcMar>
            <w:vAlign w:val="center"/>
            <w:hideMark/>
          </w:tcPr>
          <w:p w14:paraId="7A9B7FBB"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0.065000429</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3A80150E" w14:textId="5F322A1C"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OH</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5EB4981F" w14:textId="16E429D3"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0.030218026</w:t>
            </w:r>
          </w:p>
        </w:tc>
      </w:tr>
      <w:tr w:rsidR="00EE4EB6" w:rsidRPr="005745C6" w14:paraId="4F230927" w14:textId="77777777" w:rsidTr="00367BAD">
        <w:trPr>
          <w:cantSplit/>
          <w:trHeight w:val="58"/>
        </w:trPr>
        <w:tc>
          <w:tcPr>
            <w:tcW w:w="3720" w:type="dxa"/>
            <w:vMerge/>
            <w:tcBorders>
              <w:top w:val="single" w:sz="8" w:space="0" w:color="auto"/>
              <w:left w:val="single" w:sz="8" w:space="0" w:color="auto"/>
              <w:bottom w:val="single" w:sz="8" w:space="0" w:color="000000"/>
              <w:right w:val="nil"/>
            </w:tcBorders>
            <w:tcMar>
              <w:left w:w="58" w:type="dxa"/>
              <w:right w:w="58" w:type="dxa"/>
            </w:tcMar>
            <w:vAlign w:val="center"/>
            <w:hideMark/>
          </w:tcPr>
          <w:p w14:paraId="210CD4D6"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044DD297"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3</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38948ADA"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IN</w:t>
            </w:r>
          </w:p>
        </w:tc>
        <w:tc>
          <w:tcPr>
            <w:tcW w:w="1241" w:type="dxa"/>
            <w:tcBorders>
              <w:top w:val="nil"/>
              <w:left w:val="nil"/>
              <w:bottom w:val="nil"/>
              <w:right w:val="nil"/>
            </w:tcBorders>
            <w:shd w:val="clear" w:color="auto" w:fill="auto"/>
            <w:noWrap/>
            <w:tcMar>
              <w:left w:w="58" w:type="dxa"/>
              <w:right w:w="58" w:type="dxa"/>
            </w:tcMar>
            <w:vAlign w:val="center"/>
            <w:hideMark/>
          </w:tcPr>
          <w:p w14:paraId="359F962D"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0.050261661</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4651130A" w14:textId="10452439"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TX</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2F54468B" w14:textId="4A5A9E87"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0.027290416</w:t>
            </w:r>
          </w:p>
        </w:tc>
      </w:tr>
      <w:tr w:rsidR="00EE4EB6" w:rsidRPr="005745C6" w14:paraId="0EE329A7" w14:textId="77777777" w:rsidTr="00367BAD">
        <w:trPr>
          <w:cantSplit/>
          <w:trHeight w:val="58"/>
        </w:trPr>
        <w:tc>
          <w:tcPr>
            <w:tcW w:w="3720" w:type="dxa"/>
            <w:vMerge/>
            <w:tcBorders>
              <w:top w:val="single" w:sz="8" w:space="0" w:color="auto"/>
              <w:left w:val="single" w:sz="8" w:space="0" w:color="auto"/>
              <w:bottom w:val="single" w:sz="8" w:space="0" w:color="000000"/>
              <w:right w:val="nil"/>
            </w:tcBorders>
            <w:tcMar>
              <w:left w:w="58" w:type="dxa"/>
              <w:right w:w="58" w:type="dxa"/>
            </w:tcMar>
            <w:vAlign w:val="center"/>
            <w:hideMark/>
          </w:tcPr>
          <w:p w14:paraId="0E230206"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70116663"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4</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6691C55F"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MI</w:t>
            </w:r>
          </w:p>
        </w:tc>
        <w:tc>
          <w:tcPr>
            <w:tcW w:w="1241" w:type="dxa"/>
            <w:tcBorders>
              <w:top w:val="nil"/>
              <w:left w:val="nil"/>
              <w:bottom w:val="nil"/>
              <w:right w:val="nil"/>
            </w:tcBorders>
            <w:shd w:val="clear" w:color="auto" w:fill="auto"/>
            <w:noWrap/>
            <w:tcMar>
              <w:left w:w="58" w:type="dxa"/>
              <w:right w:w="58" w:type="dxa"/>
            </w:tcMar>
            <w:vAlign w:val="center"/>
            <w:hideMark/>
          </w:tcPr>
          <w:p w14:paraId="014DAC73"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0.042254566</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1BDD7093" w14:textId="068CFD95"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MO</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1934851B" w14:textId="28DED66C"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0.022326675</w:t>
            </w:r>
          </w:p>
        </w:tc>
      </w:tr>
      <w:tr w:rsidR="00EE4EB6" w:rsidRPr="005745C6" w14:paraId="654A0EF1" w14:textId="77777777" w:rsidTr="00367BAD">
        <w:trPr>
          <w:cantSplit/>
          <w:trHeight w:val="58"/>
        </w:trPr>
        <w:tc>
          <w:tcPr>
            <w:tcW w:w="3720" w:type="dxa"/>
            <w:vMerge/>
            <w:tcBorders>
              <w:top w:val="single" w:sz="8" w:space="0" w:color="auto"/>
              <w:left w:val="single" w:sz="8" w:space="0" w:color="auto"/>
              <w:bottom w:val="single" w:sz="8" w:space="0" w:color="000000"/>
              <w:right w:val="nil"/>
            </w:tcBorders>
            <w:tcMar>
              <w:left w:w="58" w:type="dxa"/>
              <w:right w:w="58" w:type="dxa"/>
            </w:tcMar>
            <w:vAlign w:val="center"/>
            <w:hideMark/>
          </w:tcPr>
          <w:p w14:paraId="3BC1966A"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single" w:sz="8" w:space="0" w:color="auto"/>
              <w:right w:val="single" w:sz="4" w:space="0" w:color="auto"/>
            </w:tcBorders>
            <w:shd w:val="clear" w:color="auto" w:fill="auto"/>
            <w:noWrap/>
            <w:tcMar>
              <w:left w:w="58" w:type="dxa"/>
              <w:right w:w="58" w:type="dxa"/>
            </w:tcMar>
            <w:vAlign w:val="center"/>
            <w:hideMark/>
          </w:tcPr>
          <w:p w14:paraId="0CB43F2F"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5</w:t>
            </w:r>
          </w:p>
        </w:tc>
        <w:tc>
          <w:tcPr>
            <w:tcW w:w="1005" w:type="dxa"/>
            <w:tcBorders>
              <w:top w:val="nil"/>
              <w:left w:val="single" w:sz="4" w:space="0" w:color="auto"/>
              <w:bottom w:val="single" w:sz="8" w:space="0" w:color="auto"/>
              <w:right w:val="nil"/>
            </w:tcBorders>
            <w:shd w:val="clear" w:color="auto" w:fill="auto"/>
            <w:noWrap/>
            <w:tcMar>
              <w:left w:w="58" w:type="dxa"/>
              <w:right w:w="58" w:type="dxa"/>
            </w:tcMar>
            <w:vAlign w:val="center"/>
            <w:hideMark/>
          </w:tcPr>
          <w:p w14:paraId="79E8A19F"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IL</w:t>
            </w:r>
          </w:p>
        </w:tc>
        <w:tc>
          <w:tcPr>
            <w:tcW w:w="1241" w:type="dxa"/>
            <w:tcBorders>
              <w:top w:val="nil"/>
              <w:left w:val="nil"/>
              <w:bottom w:val="single" w:sz="8" w:space="0" w:color="auto"/>
              <w:right w:val="nil"/>
            </w:tcBorders>
            <w:shd w:val="clear" w:color="auto" w:fill="auto"/>
            <w:noWrap/>
            <w:tcMar>
              <w:left w:w="58" w:type="dxa"/>
              <w:right w:w="58" w:type="dxa"/>
            </w:tcMar>
            <w:vAlign w:val="center"/>
            <w:hideMark/>
          </w:tcPr>
          <w:p w14:paraId="6C8D4FC3"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0.031767801</w:t>
            </w:r>
          </w:p>
        </w:tc>
        <w:tc>
          <w:tcPr>
            <w:tcW w:w="1214" w:type="dxa"/>
            <w:tcBorders>
              <w:top w:val="nil"/>
              <w:left w:val="single" w:sz="8" w:space="0" w:color="auto"/>
              <w:bottom w:val="single" w:sz="8" w:space="0" w:color="auto"/>
              <w:right w:val="nil"/>
            </w:tcBorders>
            <w:shd w:val="clear" w:color="auto" w:fill="auto"/>
            <w:noWrap/>
            <w:tcMar>
              <w:left w:w="58" w:type="dxa"/>
              <w:right w:w="58" w:type="dxa"/>
            </w:tcMar>
            <w:vAlign w:val="bottom"/>
            <w:hideMark/>
          </w:tcPr>
          <w:p w14:paraId="0439E78D" w14:textId="05457F5A"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IN</w:t>
            </w:r>
          </w:p>
        </w:tc>
        <w:tc>
          <w:tcPr>
            <w:tcW w:w="1260" w:type="dxa"/>
            <w:tcBorders>
              <w:top w:val="nil"/>
              <w:left w:val="nil"/>
              <w:bottom w:val="single" w:sz="8" w:space="0" w:color="auto"/>
              <w:right w:val="single" w:sz="8" w:space="0" w:color="auto"/>
            </w:tcBorders>
            <w:shd w:val="clear" w:color="auto" w:fill="auto"/>
            <w:noWrap/>
            <w:tcMar>
              <w:left w:w="58" w:type="dxa"/>
              <w:right w:w="58" w:type="dxa"/>
            </w:tcMar>
            <w:vAlign w:val="bottom"/>
            <w:hideMark/>
          </w:tcPr>
          <w:p w14:paraId="3C74BB81" w14:textId="083BC57B"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0.022200948</w:t>
            </w:r>
          </w:p>
        </w:tc>
      </w:tr>
      <w:tr w:rsidR="00EE4EB6" w:rsidRPr="005745C6" w14:paraId="7321F730" w14:textId="77777777" w:rsidTr="00367BAD">
        <w:trPr>
          <w:cantSplit/>
          <w:trHeight w:val="58"/>
        </w:trPr>
        <w:tc>
          <w:tcPr>
            <w:tcW w:w="3720" w:type="dxa"/>
            <w:vMerge w:val="restart"/>
            <w:tcBorders>
              <w:top w:val="nil"/>
              <w:left w:val="single" w:sz="8" w:space="0" w:color="auto"/>
              <w:bottom w:val="single" w:sz="8" w:space="0" w:color="000000"/>
              <w:right w:val="nil"/>
            </w:tcBorders>
            <w:shd w:val="clear" w:color="auto" w:fill="auto"/>
            <w:noWrap/>
            <w:tcMar>
              <w:left w:w="58" w:type="dxa"/>
              <w:right w:w="58" w:type="dxa"/>
            </w:tcMar>
            <w:textDirection w:val="btLr"/>
            <w:vAlign w:val="center"/>
            <w:hideMark/>
          </w:tcPr>
          <w:p w14:paraId="652C0D8A" w14:textId="77777777" w:rsidR="00EE4EB6" w:rsidRPr="005745C6" w:rsidRDefault="00EE4EB6" w:rsidP="00EE4EB6">
            <w:pPr>
              <w:spacing w:after="0" w:line="240" w:lineRule="auto"/>
              <w:jc w:val="center"/>
              <w:rPr>
                <w:rFonts w:eastAsia="Times New Roman" w:cs="Times New Roman"/>
                <w:b/>
                <w:bCs/>
                <w:color w:val="000000"/>
                <w:sz w:val="18"/>
                <w:szCs w:val="28"/>
              </w:rPr>
            </w:pPr>
            <w:r w:rsidRPr="005745C6">
              <w:rPr>
                <w:rFonts w:eastAsia="Times New Roman" w:cs="Times New Roman"/>
                <w:b/>
                <w:bCs/>
                <w:color w:val="000000"/>
                <w:sz w:val="18"/>
                <w:szCs w:val="28"/>
              </w:rPr>
              <w:t>Brigantine</w:t>
            </w: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661046BD"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1</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1976B82C"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OH</w:t>
            </w:r>
          </w:p>
        </w:tc>
        <w:tc>
          <w:tcPr>
            <w:tcW w:w="1241" w:type="dxa"/>
            <w:tcBorders>
              <w:top w:val="nil"/>
              <w:left w:val="nil"/>
              <w:bottom w:val="nil"/>
              <w:right w:val="nil"/>
            </w:tcBorders>
            <w:shd w:val="clear" w:color="auto" w:fill="auto"/>
            <w:noWrap/>
            <w:tcMar>
              <w:left w:w="58" w:type="dxa"/>
              <w:right w:w="58" w:type="dxa"/>
            </w:tcMar>
            <w:vAlign w:val="center"/>
            <w:hideMark/>
          </w:tcPr>
          <w:p w14:paraId="7A843EF5"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0.143782214</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3E702814" w14:textId="286DCAD1"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PA</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6FBE5078" w14:textId="078F10AD"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0.066174833</w:t>
            </w:r>
          </w:p>
        </w:tc>
      </w:tr>
      <w:tr w:rsidR="00EE4EB6" w:rsidRPr="005745C6" w14:paraId="691C457E"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7914E658"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31D5AC31"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2</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6D3B8EC4"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PA</w:t>
            </w:r>
          </w:p>
        </w:tc>
        <w:tc>
          <w:tcPr>
            <w:tcW w:w="1241" w:type="dxa"/>
            <w:tcBorders>
              <w:top w:val="nil"/>
              <w:left w:val="nil"/>
              <w:bottom w:val="nil"/>
              <w:right w:val="nil"/>
            </w:tcBorders>
            <w:shd w:val="clear" w:color="auto" w:fill="auto"/>
            <w:noWrap/>
            <w:tcMar>
              <w:left w:w="58" w:type="dxa"/>
              <w:right w:w="58" w:type="dxa"/>
            </w:tcMar>
            <w:vAlign w:val="center"/>
            <w:hideMark/>
          </w:tcPr>
          <w:p w14:paraId="20E0F389"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0.127168402</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70EB8BD5" w14:textId="33412399"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OH</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17606C02" w14:textId="399EBB87"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0.043255256</w:t>
            </w:r>
          </w:p>
        </w:tc>
      </w:tr>
      <w:tr w:rsidR="00EE4EB6" w:rsidRPr="005745C6" w14:paraId="000DDA81"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7CA2D886"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0E598026"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3</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1A95E1D6"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IN</w:t>
            </w:r>
          </w:p>
        </w:tc>
        <w:tc>
          <w:tcPr>
            <w:tcW w:w="1241" w:type="dxa"/>
            <w:tcBorders>
              <w:top w:val="nil"/>
              <w:left w:val="nil"/>
              <w:bottom w:val="nil"/>
              <w:right w:val="nil"/>
            </w:tcBorders>
            <w:shd w:val="clear" w:color="auto" w:fill="auto"/>
            <w:noWrap/>
            <w:tcMar>
              <w:left w:w="58" w:type="dxa"/>
              <w:right w:w="58" w:type="dxa"/>
            </w:tcMar>
            <w:vAlign w:val="center"/>
            <w:hideMark/>
          </w:tcPr>
          <w:p w14:paraId="030592C8"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0.060995943</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07DCB370" w14:textId="4F2EA58D"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TX</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38DC8CAF" w14:textId="3B4A4EC2"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0.033915703</w:t>
            </w:r>
          </w:p>
        </w:tc>
      </w:tr>
      <w:tr w:rsidR="00EE4EB6" w:rsidRPr="005745C6" w14:paraId="343D44F9"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2E842F40"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2015806C"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4</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73EC6C00"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KY</w:t>
            </w:r>
          </w:p>
        </w:tc>
        <w:tc>
          <w:tcPr>
            <w:tcW w:w="1241" w:type="dxa"/>
            <w:tcBorders>
              <w:top w:val="nil"/>
              <w:left w:val="nil"/>
              <w:bottom w:val="nil"/>
              <w:right w:val="nil"/>
            </w:tcBorders>
            <w:shd w:val="clear" w:color="auto" w:fill="auto"/>
            <w:noWrap/>
            <w:tcMar>
              <w:left w:w="58" w:type="dxa"/>
              <w:right w:w="58" w:type="dxa"/>
            </w:tcMar>
            <w:vAlign w:val="center"/>
            <w:hideMark/>
          </w:tcPr>
          <w:p w14:paraId="4FF821C1"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0.048691472</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7D33B65C" w14:textId="4A4C517F"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MD</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43E7F20A" w14:textId="5121793F"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0.033394815</w:t>
            </w:r>
          </w:p>
        </w:tc>
      </w:tr>
      <w:tr w:rsidR="00EE4EB6" w:rsidRPr="005745C6" w14:paraId="05884F9D"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2D8BC80B"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single" w:sz="8" w:space="0" w:color="auto"/>
              <w:right w:val="single" w:sz="4" w:space="0" w:color="auto"/>
            </w:tcBorders>
            <w:shd w:val="clear" w:color="auto" w:fill="auto"/>
            <w:noWrap/>
            <w:tcMar>
              <w:left w:w="58" w:type="dxa"/>
              <w:right w:w="58" w:type="dxa"/>
            </w:tcMar>
            <w:vAlign w:val="center"/>
            <w:hideMark/>
          </w:tcPr>
          <w:p w14:paraId="668621B0"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5</w:t>
            </w:r>
          </w:p>
        </w:tc>
        <w:tc>
          <w:tcPr>
            <w:tcW w:w="1005" w:type="dxa"/>
            <w:tcBorders>
              <w:top w:val="nil"/>
              <w:left w:val="single" w:sz="4" w:space="0" w:color="auto"/>
              <w:bottom w:val="single" w:sz="8" w:space="0" w:color="auto"/>
              <w:right w:val="nil"/>
            </w:tcBorders>
            <w:shd w:val="clear" w:color="auto" w:fill="auto"/>
            <w:noWrap/>
            <w:tcMar>
              <w:left w:w="58" w:type="dxa"/>
              <w:right w:w="58" w:type="dxa"/>
            </w:tcMar>
            <w:vAlign w:val="center"/>
            <w:hideMark/>
          </w:tcPr>
          <w:p w14:paraId="42C75905"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TX</w:t>
            </w:r>
          </w:p>
        </w:tc>
        <w:tc>
          <w:tcPr>
            <w:tcW w:w="1241" w:type="dxa"/>
            <w:tcBorders>
              <w:top w:val="nil"/>
              <w:left w:val="nil"/>
              <w:bottom w:val="single" w:sz="8" w:space="0" w:color="auto"/>
              <w:right w:val="nil"/>
            </w:tcBorders>
            <w:shd w:val="clear" w:color="auto" w:fill="auto"/>
            <w:noWrap/>
            <w:tcMar>
              <w:left w:w="58" w:type="dxa"/>
              <w:right w:w="58" w:type="dxa"/>
            </w:tcMar>
            <w:vAlign w:val="center"/>
            <w:hideMark/>
          </w:tcPr>
          <w:p w14:paraId="74AEE6DC"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0.03855251</w:t>
            </w:r>
          </w:p>
        </w:tc>
        <w:tc>
          <w:tcPr>
            <w:tcW w:w="1214" w:type="dxa"/>
            <w:tcBorders>
              <w:top w:val="nil"/>
              <w:left w:val="single" w:sz="8" w:space="0" w:color="auto"/>
              <w:bottom w:val="single" w:sz="8" w:space="0" w:color="auto"/>
              <w:right w:val="nil"/>
            </w:tcBorders>
            <w:shd w:val="clear" w:color="auto" w:fill="auto"/>
            <w:noWrap/>
            <w:tcMar>
              <w:left w:w="58" w:type="dxa"/>
              <w:right w:w="58" w:type="dxa"/>
            </w:tcMar>
            <w:vAlign w:val="bottom"/>
            <w:hideMark/>
          </w:tcPr>
          <w:p w14:paraId="74DB8226" w14:textId="722B109E"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IN</w:t>
            </w:r>
          </w:p>
        </w:tc>
        <w:tc>
          <w:tcPr>
            <w:tcW w:w="1260" w:type="dxa"/>
            <w:tcBorders>
              <w:top w:val="nil"/>
              <w:left w:val="nil"/>
              <w:bottom w:val="single" w:sz="8" w:space="0" w:color="auto"/>
              <w:right w:val="single" w:sz="8" w:space="0" w:color="auto"/>
            </w:tcBorders>
            <w:shd w:val="clear" w:color="auto" w:fill="auto"/>
            <w:noWrap/>
            <w:tcMar>
              <w:left w:w="58" w:type="dxa"/>
              <w:right w:w="58" w:type="dxa"/>
            </w:tcMar>
            <w:vAlign w:val="bottom"/>
            <w:hideMark/>
          </w:tcPr>
          <w:p w14:paraId="241CF24E" w14:textId="47A78FFC"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0.02723641</w:t>
            </w:r>
          </w:p>
        </w:tc>
      </w:tr>
      <w:tr w:rsidR="00EE4EB6" w:rsidRPr="005745C6" w14:paraId="1F99F5A0" w14:textId="77777777" w:rsidTr="00367BAD">
        <w:trPr>
          <w:cantSplit/>
          <w:trHeight w:val="58"/>
        </w:trPr>
        <w:tc>
          <w:tcPr>
            <w:tcW w:w="3720" w:type="dxa"/>
            <w:vMerge w:val="restart"/>
            <w:tcBorders>
              <w:top w:val="nil"/>
              <w:left w:val="single" w:sz="8" w:space="0" w:color="auto"/>
              <w:bottom w:val="single" w:sz="8" w:space="0" w:color="000000"/>
              <w:right w:val="nil"/>
            </w:tcBorders>
            <w:shd w:val="clear" w:color="auto" w:fill="auto"/>
            <w:noWrap/>
            <w:tcMar>
              <w:left w:w="58" w:type="dxa"/>
              <w:right w:w="58" w:type="dxa"/>
            </w:tcMar>
            <w:textDirection w:val="btLr"/>
            <w:vAlign w:val="center"/>
            <w:hideMark/>
          </w:tcPr>
          <w:p w14:paraId="5962F321" w14:textId="77777777" w:rsidR="00EE4EB6" w:rsidRPr="005745C6" w:rsidRDefault="00EE4EB6" w:rsidP="00EE4EB6">
            <w:pPr>
              <w:spacing w:after="0" w:line="240" w:lineRule="auto"/>
              <w:jc w:val="center"/>
              <w:rPr>
                <w:rFonts w:eastAsia="Times New Roman" w:cs="Times New Roman"/>
                <w:b/>
                <w:bCs/>
                <w:color w:val="000000"/>
                <w:sz w:val="18"/>
                <w:szCs w:val="28"/>
              </w:rPr>
            </w:pPr>
            <w:r w:rsidRPr="005745C6">
              <w:rPr>
                <w:rFonts w:eastAsia="Times New Roman" w:cs="Times New Roman"/>
                <w:b/>
                <w:bCs/>
                <w:color w:val="000000"/>
                <w:sz w:val="18"/>
                <w:szCs w:val="28"/>
              </w:rPr>
              <w:t>Dolly Sods</w:t>
            </w: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44162290"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1</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2038C588"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OH</w:t>
            </w:r>
          </w:p>
        </w:tc>
        <w:tc>
          <w:tcPr>
            <w:tcW w:w="1241" w:type="dxa"/>
            <w:tcBorders>
              <w:top w:val="nil"/>
              <w:left w:val="nil"/>
              <w:bottom w:val="nil"/>
              <w:right w:val="nil"/>
            </w:tcBorders>
            <w:shd w:val="clear" w:color="auto" w:fill="auto"/>
            <w:noWrap/>
            <w:tcMar>
              <w:left w:w="58" w:type="dxa"/>
              <w:right w:w="58" w:type="dxa"/>
            </w:tcMar>
            <w:vAlign w:val="center"/>
            <w:hideMark/>
          </w:tcPr>
          <w:p w14:paraId="3CFEB65E"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0.304332742</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12A70453" w14:textId="29592758"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WV</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2C5DA544" w14:textId="2F9CF616"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0.080326515</w:t>
            </w:r>
          </w:p>
        </w:tc>
      </w:tr>
      <w:tr w:rsidR="00EE4EB6" w:rsidRPr="005745C6" w14:paraId="621D069F"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7070BF62"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306AFEA6"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2</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13B7FD73"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PA</w:t>
            </w:r>
          </w:p>
        </w:tc>
        <w:tc>
          <w:tcPr>
            <w:tcW w:w="1241" w:type="dxa"/>
            <w:tcBorders>
              <w:top w:val="nil"/>
              <w:left w:val="nil"/>
              <w:bottom w:val="nil"/>
              <w:right w:val="nil"/>
            </w:tcBorders>
            <w:shd w:val="clear" w:color="auto" w:fill="auto"/>
            <w:noWrap/>
            <w:tcMar>
              <w:left w:w="58" w:type="dxa"/>
              <w:right w:w="58" w:type="dxa"/>
            </w:tcMar>
            <w:vAlign w:val="center"/>
            <w:hideMark/>
          </w:tcPr>
          <w:p w14:paraId="1482E1C6"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0.156460896</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7C1C16DB" w14:textId="22693F4E"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PA</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5CA5DD06" w14:textId="4CCAF51F"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0.079466227</w:t>
            </w:r>
          </w:p>
        </w:tc>
      </w:tr>
      <w:tr w:rsidR="00EE4EB6" w:rsidRPr="005745C6" w14:paraId="49A4D847"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0E93DAA1"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5937164C"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3</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315F4A36"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WV</w:t>
            </w:r>
          </w:p>
        </w:tc>
        <w:tc>
          <w:tcPr>
            <w:tcW w:w="1241" w:type="dxa"/>
            <w:tcBorders>
              <w:top w:val="nil"/>
              <w:left w:val="nil"/>
              <w:bottom w:val="nil"/>
              <w:right w:val="nil"/>
            </w:tcBorders>
            <w:shd w:val="clear" w:color="auto" w:fill="auto"/>
            <w:noWrap/>
            <w:tcMar>
              <w:left w:w="58" w:type="dxa"/>
              <w:right w:w="58" w:type="dxa"/>
            </w:tcMar>
            <w:vAlign w:val="center"/>
            <w:hideMark/>
          </w:tcPr>
          <w:p w14:paraId="2FAEC2F9"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0.121920177</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5E7A9DA0" w14:textId="7450B055"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OH</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20FDF4CB" w14:textId="7A62F4B7"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0.07326551</w:t>
            </w:r>
          </w:p>
        </w:tc>
      </w:tr>
      <w:tr w:rsidR="00EE4EB6" w:rsidRPr="005745C6" w14:paraId="5E679779"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5409EF0A"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1C2424E8"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4</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31A89CB1"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IN</w:t>
            </w:r>
          </w:p>
        </w:tc>
        <w:tc>
          <w:tcPr>
            <w:tcW w:w="1241" w:type="dxa"/>
            <w:tcBorders>
              <w:top w:val="nil"/>
              <w:left w:val="nil"/>
              <w:bottom w:val="nil"/>
              <w:right w:val="nil"/>
            </w:tcBorders>
            <w:shd w:val="clear" w:color="auto" w:fill="auto"/>
            <w:noWrap/>
            <w:tcMar>
              <w:left w:w="58" w:type="dxa"/>
              <w:right w:w="58" w:type="dxa"/>
            </w:tcMar>
            <w:vAlign w:val="center"/>
            <w:hideMark/>
          </w:tcPr>
          <w:p w14:paraId="2C9005EC"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0.091857237</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2C3FFD7C" w14:textId="2A1B8240"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TX</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2DEC5437" w14:textId="23D2800E"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0.034729442</w:t>
            </w:r>
          </w:p>
        </w:tc>
      </w:tr>
      <w:tr w:rsidR="00EE4EB6" w:rsidRPr="005745C6" w14:paraId="1AF89618"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472AE076"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single" w:sz="8" w:space="0" w:color="auto"/>
              <w:right w:val="single" w:sz="4" w:space="0" w:color="auto"/>
            </w:tcBorders>
            <w:shd w:val="clear" w:color="auto" w:fill="auto"/>
            <w:noWrap/>
            <w:tcMar>
              <w:left w:w="58" w:type="dxa"/>
              <w:right w:w="58" w:type="dxa"/>
            </w:tcMar>
            <w:vAlign w:val="center"/>
            <w:hideMark/>
          </w:tcPr>
          <w:p w14:paraId="52F1F119"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5</w:t>
            </w:r>
          </w:p>
        </w:tc>
        <w:tc>
          <w:tcPr>
            <w:tcW w:w="1005" w:type="dxa"/>
            <w:tcBorders>
              <w:top w:val="nil"/>
              <w:left w:val="single" w:sz="4" w:space="0" w:color="auto"/>
              <w:bottom w:val="single" w:sz="8" w:space="0" w:color="auto"/>
              <w:right w:val="nil"/>
            </w:tcBorders>
            <w:shd w:val="clear" w:color="auto" w:fill="auto"/>
            <w:noWrap/>
            <w:tcMar>
              <w:left w:w="58" w:type="dxa"/>
              <w:right w:w="58" w:type="dxa"/>
            </w:tcMar>
            <w:vAlign w:val="center"/>
            <w:hideMark/>
          </w:tcPr>
          <w:p w14:paraId="26BB2AF1"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KY</w:t>
            </w:r>
          </w:p>
        </w:tc>
        <w:tc>
          <w:tcPr>
            <w:tcW w:w="1241" w:type="dxa"/>
            <w:tcBorders>
              <w:top w:val="nil"/>
              <w:left w:val="nil"/>
              <w:bottom w:val="single" w:sz="8" w:space="0" w:color="auto"/>
              <w:right w:val="nil"/>
            </w:tcBorders>
            <w:shd w:val="clear" w:color="auto" w:fill="auto"/>
            <w:noWrap/>
            <w:tcMar>
              <w:left w:w="58" w:type="dxa"/>
              <w:right w:w="58" w:type="dxa"/>
            </w:tcMar>
            <w:vAlign w:val="center"/>
            <w:hideMark/>
          </w:tcPr>
          <w:p w14:paraId="756B37BD"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0.069838976</w:t>
            </w:r>
          </w:p>
        </w:tc>
        <w:tc>
          <w:tcPr>
            <w:tcW w:w="1214" w:type="dxa"/>
            <w:tcBorders>
              <w:top w:val="nil"/>
              <w:left w:val="single" w:sz="8" w:space="0" w:color="auto"/>
              <w:bottom w:val="single" w:sz="8" w:space="0" w:color="auto"/>
              <w:right w:val="nil"/>
            </w:tcBorders>
            <w:shd w:val="clear" w:color="auto" w:fill="auto"/>
            <w:noWrap/>
            <w:tcMar>
              <w:left w:w="58" w:type="dxa"/>
              <w:right w:w="58" w:type="dxa"/>
            </w:tcMar>
            <w:vAlign w:val="bottom"/>
            <w:hideMark/>
          </w:tcPr>
          <w:p w14:paraId="2D4645D9" w14:textId="2D8D9F96"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KY</w:t>
            </w:r>
          </w:p>
        </w:tc>
        <w:tc>
          <w:tcPr>
            <w:tcW w:w="1260" w:type="dxa"/>
            <w:tcBorders>
              <w:top w:val="nil"/>
              <w:left w:val="nil"/>
              <w:bottom w:val="single" w:sz="8" w:space="0" w:color="auto"/>
              <w:right w:val="single" w:sz="8" w:space="0" w:color="auto"/>
            </w:tcBorders>
            <w:shd w:val="clear" w:color="auto" w:fill="auto"/>
            <w:noWrap/>
            <w:tcMar>
              <w:left w:w="58" w:type="dxa"/>
              <w:right w:w="58" w:type="dxa"/>
            </w:tcMar>
            <w:vAlign w:val="bottom"/>
            <w:hideMark/>
          </w:tcPr>
          <w:p w14:paraId="7BF256CB" w14:textId="259D905A"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0.034046795</w:t>
            </w:r>
          </w:p>
        </w:tc>
      </w:tr>
      <w:tr w:rsidR="00EE4EB6" w:rsidRPr="005745C6" w14:paraId="7783EB3A" w14:textId="77777777" w:rsidTr="00367BAD">
        <w:trPr>
          <w:cantSplit/>
          <w:trHeight w:val="58"/>
        </w:trPr>
        <w:tc>
          <w:tcPr>
            <w:tcW w:w="3720" w:type="dxa"/>
            <w:vMerge w:val="restart"/>
            <w:tcBorders>
              <w:top w:val="nil"/>
              <w:left w:val="single" w:sz="8" w:space="0" w:color="auto"/>
              <w:bottom w:val="single" w:sz="8" w:space="0" w:color="000000"/>
              <w:right w:val="nil"/>
            </w:tcBorders>
            <w:shd w:val="clear" w:color="auto" w:fill="auto"/>
            <w:noWrap/>
            <w:tcMar>
              <w:left w:w="58" w:type="dxa"/>
              <w:right w:w="58" w:type="dxa"/>
            </w:tcMar>
            <w:textDirection w:val="btLr"/>
            <w:vAlign w:val="center"/>
            <w:hideMark/>
          </w:tcPr>
          <w:p w14:paraId="4DA2E35F" w14:textId="77777777" w:rsidR="00EE4EB6" w:rsidRPr="005745C6" w:rsidRDefault="00EE4EB6" w:rsidP="00EE4EB6">
            <w:pPr>
              <w:spacing w:after="0" w:line="240" w:lineRule="auto"/>
              <w:jc w:val="center"/>
              <w:rPr>
                <w:rFonts w:eastAsia="Times New Roman" w:cs="Times New Roman"/>
                <w:b/>
                <w:bCs/>
                <w:color w:val="000000"/>
                <w:sz w:val="18"/>
                <w:szCs w:val="28"/>
              </w:rPr>
            </w:pPr>
            <w:r w:rsidRPr="005745C6">
              <w:rPr>
                <w:rFonts w:eastAsia="Times New Roman" w:cs="Times New Roman"/>
                <w:b/>
                <w:bCs/>
                <w:color w:val="000000"/>
                <w:sz w:val="18"/>
                <w:szCs w:val="28"/>
              </w:rPr>
              <w:t>Great Gulf</w:t>
            </w: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7CF98661"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1</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0BA53366"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OH</w:t>
            </w:r>
          </w:p>
        </w:tc>
        <w:tc>
          <w:tcPr>
            <w:tcW w:w="1241" w:type="dxa"/>
            <w:tcBorders>
              <w:top w:val="nil"/>
              <w:left w:val="nil"/>
              <w:bottom w:val="nil"/>
              <w:right w:val="nil"/>
            </w:tcBorders>
            <w:shd w:val="clear" w:color="auto" w:fill="auto"/>
            <w:noWrap/>
            <w:tcMar>
              <w:left w:w="58" w:type="dxa"/>
              <w:right w:w="58" w:type="dxa"/>
            </w:tcMar>
            <w:vAlign w:val="center"/>
            <w:hideMark/>
          </w:tcPr>
          <w:p w14:paraId="5BB182C8"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0.073746721</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43F30B5F" w14:textId="23F91B6F"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PA</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5E0817BF" w14:textId="1CF392C4"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0.028538138</w:t>
            </w:r>
          </w:p>
        </w:tc>
      </w:tr>
      <w:tr w:rsidR="00EE4EB6" w:rsidRPr="005745C6" w14:paraId="09711E77"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1AE3FF0B"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37BBFCEC"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2</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41E2BEDA"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PA</w:t>
            </w:r>
          </w:p>
        </w:tc>
        <w:tc>
          <w:tcPr>
            <w:tcW w:w="1241" w:type="dxa"/>
            <w:tcBorders>
              <w:top w:val="nil"/>
              <w:left w:val="nil"/>
              <w:bottom w:val="nil"/>
              <w:right w:val="nil"/>
            </w:tcBorders>
            <w:shd w:val="clear" w:color="auto" w:fill="auto"/>
            <w:noWrap/>
            <w:tcMar>
              <w:left w:w="58" w:type="dxa"/>
              <w:right w:w="58" w:type="dxa"/>
            </w:tcMar>
            <w:vAlign w:val="center"/>
            <w:hideMark/>
          </w:tcPr>
          <w:p w14:paraId="32C09839"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0.052415185</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219C932F" w14:textId="3736AD73"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OH</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0EC728B3" w14:textId="3447928F"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0.025792798</w:t>
            </w:r>
          </w:p>
        </w:tc>
      </w:tr>
      <w:tr w:rsidR="00EE4EB6" w:rsidRPr="005745C6" w14:paraId="613DED8E"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53AA80FD"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4F2347DF"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3</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17890750"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IN</w:t>
            </w:r>
          </w:p>
        </w:tc>
        <w:tc>
          <w:tcPr>
            <w:tcW w:w="1241" w:type="dxa"/>
            <w:tcBorders>
              <w:top w:val="nil"/>
              <w:left w:val="nil"/>
              <w:bottom w:val="nil"/>
              <w:right w:val="nil"/>
            </w:tcBorders>
            <w:shd w:val="clear" w:color="auto" w:fill="auto"/>
            <w:noWrap/>
            <w:tcMar>
              <w:left w:w="58" w:type="dxa"/>
              <w:right w:w="58" w:type="dxa"/>
            </w:tcMar>
            <w:vAlign w:val="center"/>
            <w:hideMark/>
          </w:tcPr>
          <w:p w14:paraId="7EEA3E9B"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0.045361066</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7B70C980" w14:textId="5B27E674"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TX</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30EF23D2" w14:textId="164D4E9D"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0.02124918</w:t>
            </w:r>
          </w:p>
        </w:tc>
      </w:tr>
      <w:tr w:rsidR="00EE4EB6" w:rsidRPr="005745C6" w14:paraId="6BCF887C"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1FCF3841"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6BADDD05"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4</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0804E6A1"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MI</w:t>
            </w:r>
          </w:p>
        </w:tc>
        <w:tc>
          <w:tcPr>
            <w:tcW w:w="1241" w:type="dxa"/>
            <w:tcBorders>
              <w:top w:val="nil"/>
              <w:left w:val="nil"/>
              <w:bottom w:val="nil"/>
              <w:right w:val="nil"/>
            </w:tcBorders>
            <w:shd w:val="clear" w:color="auto" w:fill="auto"/>
            <w:noWrap/>
            <w:tcMar>
              <w:left w:w="58" w:type="dxa"/>
              <w:right w:w="58" w:type="dxa"/>
            </w:tcMar>
            <w:vAlign w:val="center"/>
            <w:hideMark/>
          </w:tcPr>
          <w:p w14:paraId="3F1071D9"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0.035254865</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74EC76FB" w14:textId="1F787FE7"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IN</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2E9D83A1" w14:textId="6ED08B6E"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0.021009177</w:t>
            </w:r>
          </w:p>
        </w:tc>
      </w:tr>
      <w:tr w:rsidR="00EE4EB6" w:rsidRPr="005745C6" w14:paraId="4B2EF0C7"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13B3E473"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single" w:sz="8" w:space="0" w:color="auto"/>
              <w:right w:val="single" w:sz="4" w:space="0" w:color="auto"/>
            </w:tcBorders>
            <w:shd w:val="clear" w:color="auto" w:fill="auto"/>
            <w:noWrap/>
            <w:tcMar>
              <w:left w:w="58" w:type="dxa"/>
              <w:right w:w="58" w:type="dxa"/>
            </w:tcMar>
            <w:vAlign w:val="center"/>
            <w:hideMark/>
          </w:tcPr>
          <w:p w14:paraId="774FDCBA"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5</w:t>
            </w:r>
          </w:p>
        </w:tc>
        <w:tc>
          <w:tcPr>
            <w:tcW w:w="1005" w:type="dxa"/>
            <w:tcBorders>
              <w:top w:val="nil"/>
              <w:left w:val="single" w:sz="4" w:space="0" w:color="auto"/>
              <w:bottom w:val="single" w:sz="8" w:space="0" w:color="auto"/>
              <w:right w:val="nil"/>
            </w:tcBorders>
            <w:shd w:val="clear" w:color="auto" w:fill="auto"/>
            <w:noWrap/>
            <w:tcMar>
              <w:left w:w="58" w:type="dxa"/>
              <w:right w:w="58" w:type="dxa"/>
            </w:tcMar>
            <w:vAlign w:val="center"/>
            <w:hideMark/>
          </w:tcPr>
          <w:p w14:paraId="4DD3BA50"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IL</w:t>
            </w:r>
          </w:p>
        </w:tc>
        <w:tc>
          <w:tcPr>
            <w:tcW w:w="1241" w:type="dxa"/>
            <w:tcBorders>
              <w:top w:val="nil"/>
              <w:left w:val="nil"/>
              <w:bottom w:val="single" w:sz="8" w:space="0" w:color="auto"/>
              <w:right w:val="nil"/>
            </w:tcBorders>
            <w:shd w:val="clear" w:color="auto" w:fill="auto"/>
            <w:noWrap/>
            <w:tcMar>
              <w:left w:w="58" w:type="dxa"/>
              <w:right w:w="58" w:type="dxa"/>
            </w:tcMar>
            <w:vAlign w:val="center"/>
            <w:hideMark/>
          </w:tcPr>
          <w:p w14:paraId="4E9F7AE2"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0.027097205</w:t>
            </w:r>
          </w:p>
        </w:tc>
        <w:tc>
          <w:tcPr>
            <w:tcW w:w="1214" w:type="dxa"/>
            <w:tcBorders>
              <w:top w:val="nil"/>
              <w:left w:val="single" w:sz="8" w:space="0" w:color="auto"/>
              <w:bottom w:val="single" w:sz="8" w:space="0" w:color="auto"/>
              <w:right w:val="nil"/>
            </w:tcBorders>
            <w:shd w:val="clear" w:color="auto" w:fill="auto"/>
            <w:noWrap/>
            <w:tcMar>
              <w:left w:w="58" w:type="dxa"/>
              <w:right w:w="58" w:type="dxa"/>
            </w:tcMar>
            <w:vAlign w:val="bottom"/>
            <w:hideMark/>
          </w:tcPr>
          <w:p w14:paraId="573A188D" w14:textId="7E3D7DAA"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MO</w:t>
            </w:r>
          </w:p>
        </w:tc>
        <w:tc>
          <w:tcPr>
            <w:tcW w:w="1260" w:type="dxa"/>
            <w:tcBorders>
              <w:top w:val="nil"/>
              <w:left w:val="nil"/>
              <w:bottom w:val="single" w:sz="8" w:space="0" w:color="auto"/>
              <w:right w:val="single" w:sz="8" w:space="0" w:color="auto"/>
            </w:tcBorders>
            <w:shd w:val="clear" w:color="auto" w:fill="auto"/>
            <w:noWrap/>
            <w:tcMar>
              <w:left w:w="58" w:type="dxa"/>
              <w:right w:w="58" w:type="dxa"/>
            </w:tcMar>
            <w:vAlign w:val="bottom"/>
            <w:hideMark/>
          </w:tcPr>
          <w:p w14:paraId="6ACCBB00" w14:textId="715C0F99"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0.01919794</w:t>
            </w:r>
          </w:p>
        </w:tc>
      </w:tr>
      <w:tr w:rsidR="00EE4EB6" w:rsidRPr="005745C6" w14:paraId="16E4080F" w14:textId="77777777" w:rsidTr="00367BAD">
        <w:trPr>
          <w:cantSplit/>
          <w:trHeight w:val="58"/>
        </w:trPr>
        <w:tc>
          <w:tcPr>
            <w:tcW w:w="3720" w:type="dxa"/>
            <w:vMerge w:val="restart"/>
            <w:tcBorders>
              <w:top w:val="nil"/>
              <w:left w:val="single" w:sz="8" w:space="0" w:color="auto"/>
              <w:bottom w:val="single" w:sz="8" w:space="0" w:color="000000"/>
              <w:right w:val="nil"/>
            </w:tcBorders>
            <w:shd w:val="clear" w:color="auto" w:fill="auto"/>
            <w:tcMar>
              <w:left w:w="58" w:type="dxa"/>
              <w:right w:w="58" w:type="dxa"/>
            </w:tcMar>
            <w:textDirection w:val="btLr"/>
            <w:vAlign w:val="center"/>
            <w:hideMark/>
          </w:tcPr>
          <w:p w14:paraId="62D7CCD8" w14:textId="77777777" w:rsidR="00EE4EB6" w:rsidRPr="005745C6" w:rsidRDefault="00EE4EB6" w:rsidP="00EE4EB6">
            <w:pPr>
              <w:spacing w:after="0" w:line="240" w:lineRule="auto"/>
              <w:jc w:val="center"/>
              <w:rPr>
                <w:rFonts w:eastAsia="Times New Roman" w:cs="Times New Roman"/>
                <w:b/>
                <w:bCs/>
                <w:color w:val="000000"/>
                <w:sz w:val="18"/>
                <w:szCs w:val="28"/>
              </w:rPr>
            </w:pPr>
            <w:r w:rsidRPr="005745C6">
              <w:rPr>
                <w:rFonts w:eastAsia="Times New Roman" w:cs="Times New Roman"/>
                <w:b/>
                <w:bCs/>
                <w:color w:val="000000"/>
                <w:sz w:val="18"/>
                <w:szCs w:val="28"/>
              </w:rPr>
              <w:t>James Face</w:t>
            </w: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0BDA7069"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1</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56171BDF"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OH</w:t>
            </w:r>
          </w:p>
        </w:tc>
        <w:tc>
          <w:tcPr>
            <w:tcW w:w="1241" w:type="dxa"/>
            <w:tcBorders>
              <w:top w:val="nil"/>
              <w:left w:val="nil"/>
              <w:bottom w:val="nil"/>
              <w:right w:val="nil"/>
            </w:tcBorders>
            <w:shd w:val="clear" w:color="auto" w:fill="auto"/>
            <w:noWrap/>
            <w:tcMar>
              <w:left w:w="58" w:type="dxa"/>
              <w:right w:w="58" w:type="dxa"/>
            </w:tcMar>
            <w:vAlign w:val="center"/>
            <w:hideMark/>
          </w:tcPr>
          <w:p w14:paraId="4F952EE6"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0.21967166</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2935152F" w14:textId="7179A21D"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OH</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747A6790" w14:textId="427E7E00"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0.059720444</w:t>
            </w:r>
          </w:p>
        </w:tc>
      </w:tr>
      <w:tr w:rsidR="00EE4EB6" w:rsidRPr="005745C6" w14:paraId="67D9F0E6"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4515EDF5"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7556A6EB"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2</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184E7A30"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IN</w:t>
            </w:r>
          </w:p>
        </w:tc>
        <w:tc>
          <w:tcPr>
            <w:tcW w:w="1241" w:type="dxa"/>
            <w:tcBorders>
              <w:top w:val="nil"/>
              <w:left w:val="nil"/>
              <w:bottom w:val="nil"/>
              <w:right w:val="nil"/>
            </w:tcBorders>
            <w:shd w:val="clear" w:color="auto" w:fill="auto"/>
            <w:noWrap/>
            <w:tcMar>
              <w:left w:w="58" w:type="dxa"/>
              <w:right w:w="58" w:type="dxa"/>
            </w:tcMar>
            <w:vAlign w:val="center"/>
            <w:hideMark/>
          </w:tcPr>
          <w:p w14:paraId="15B23DCF"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0.088060923</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71F9F4C7" w14:textId="6FAD0090"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PA</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1D307A8B" w14:textId="7D2D63C6"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0.04587869</w:t>
            </w:r>
          </w:p>
        </w:tc>
      </w:tr>
      <w:tr w:rsidR="00EE4EB6" w:rsidRPr="005745C6" w14:paraId="2F4F984D"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2EFB8F8E"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03BF18ED"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3</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552BE382"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PA</w:t>
            </w:r>
          </w:p>
        </w:tc>
        <w:tc>
          <w:tcPr>
            <w:tcW w:w="1241" w:type="dxa"/>
            <w:tcBorders>
              <w:top w:val="nil"/>
              <w:left w:val="nil"/>
              <w:bottom w:val="nil"/>
              <w:right w:val="nil"/>
            </w:tcBorders>
            <w:shd w:val="clear" w:color="auto" w:fill="auto"/>
            <w:noWrap/>
            <w:tcMar>
              <w:left w:w="58" w:type="dxa"/>
              <w:right w:w="58" w:type="dxa"/>
            </w:tcMar>
            <w:vAlign w:val="center"/>
            <w:hideMark/>
          </w:tcPr>
          <w:p w14:paraId="0FC3E0E6"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0.086371599</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689795E5" w14:textId="74F9D682"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TX</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1A5E50D4" w14:textId="3DC31DBD"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0.03592808</w:t>
            </w:r>
          </w:p>
        </w:tc>
      </w:tr>
      <w:tr w:rsidR="00EE4EB6" w:rsidRPr="005745C6" w14:paraId="1180C886"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1B92A029"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631704BB"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4</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051D70D9"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KY</w:t>
            </w:r>
          </w:p>
        </w:tc>
        <w:tc>
          <w:tcPr>
            <w:tcW w:w="1241" w:type="dxa"/>
            <w:tcBorders>
              <w:top w:val="nil"/>
              <w:left w:val="nil"/>
              <w:bottom w:val="nil"/>
              <w:right w:val="nil"/>
            </w:tcBorders>
            <w:shd w:val="clear" w:color="auto" w:fill="auto"/>
            <w:noWrap/>
            <w:tcMar>
              <w:left w:w="58" w:type="dxa"/>
              <w:right w:w="58" w:type="dxa"/>
            </w:tcMar>
            <w:vAlign w:val="center"/>
            <w:hideMark/>
          </w:tcPr>
          <w:p w14:paraId="557EF26C"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0.072636643</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0226FEEB" w14:textId="44265670"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KY</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2D0E1D24" w14:textId="54F2D365"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0.034641141</w:t>
            </w:r>
          </w:p>
        </w:tc>
      </w:tr>
      <w:tr w:rsidR="00EE4EB6" w:rsidRPr="005745C6" w14:paraId="6E9EC344"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14996A04"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single" w:sz="8" w:space="0" w:color="auto"/>
              <w:right w:val="single" w:sz="4" w:space="0" w:color="auto"/>
            </w:tcBorders>
            <w:shd w:val="clear" w:color="auto" w:fill="auto"/>
            <w:noWrap/>
            <w:tcMar>
              <w:left w:w="58" w:type="dxa"/>
              <w:right w:w="58" w:type="dxa"/>
            </w:tcMar>
            <w:vAlign w:val="center"/>
            <w:hideMark/>
          </w:tcPr>
          <w:p w14:paraId="5C84CACE"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5</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6D65393E"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VA</w:t>
            </w:r>
          </w:p>
        </w:tc>
        <w:tc>
          <w:tcPr>
            <w:tcW w:w="1241" w:type="dxa"/>
            <w:tcBorders>
              <w:top w:val="nil"/>
              <w:left w:val="nil"/>
              <w:bottom w:val="nil"/>
              <w:right w:val="nil"/>
            </w:tcBorders>
            <w:shd w:val="clear" w:color="auto" w:fill="auto"/>
            <w:noWrap/>
            <w:tcMar>
              <w:left w:w="58" w:type="dxa"/>
              <w:right w:w="58" w:type="dxa"/>
            </w:tcMar>
            <w:vAlign w:val="center"/>
            <w:hideMark/>
          </w:tcPr>
          <w:p w14:paraId="5F51FBC1"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0.057416645</w:t>
            </w:r>
          </w:p>
        </w:tc>
        <w:tc>
          <w:tcPr>
            <w:tcW w:w="1214" w:type="dxa"/>
            <w:tcBorders>
              <w:top w:val="nil"/>
              <w:left w:val="single" w:sz="8" w:space="0" w:color="auto"/>
              <w:bottom w:val="single" w:sz="8" w:space="0" w:color="auto"/>
              <w:right w:val="nil"/>
            </w:tcBorders>
            <w:shd w:val="clear" w:color="auto" w:fill="auto"/>
            <w:noWrap/>
            <w:tcMar>
              <w:left w:w="58" w:type="dxa"/>
              <w:right w:w="58" w:type="dxa"/>
            </w:tcMar>
            <w:vAlign w:val="bottom"/>
            <w:hideMark/>
          </w:tcPr>
          <w:p w14:paraId="6733FB3F" w14:textId="0002F704"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IN</w:t>
            </w:r>
          </w:p>
        </w:tc>
        <w:tc>
          <w:tcPr>
            <w:tcW w:w="1260" w:type="dxa"/>
            <w:tcBorders>
              <w:top w:val="nil"/>
              <w:left w:val="nil"/>
              <w:bottom w:val="single" w:sz="8" w:space="0" w:color="auto"/>
              <w:right w:val="single" w:sz="8" w:space="0" w:color="auto"/>
            </w:tcBorders>
            <w:shd w:val="clear" w:color="auto" w:fill="auto"/>
            <w:noWrap/>
            <w:tcMar>
              <w:left w:w="58" w:type="dxa"/>
              <w:right w:w="58" w:type="dxa"/>
            </w:tcMar>
            <w:vAlign w:val="bottom"/>
            <w:hideMark/>
          </w:tcPr>
          <w:p w14:paraId="503A7B73" w14:textId="626F6FFA"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0.033171851</w:t>
            </w:r>
          </w:p>
        </w:tc>
      </w:tr>
      <w:tr w:rsidR="00EE4EB6" w:rsidRPr="005745C6" w14:paraId="48218828" w14:textId="77777777" w:rsidTr="00367BAD">
        <w:trPr>
          <w:cantSplit/>
          <w:trHeight w:val="58"/>
        </w:trPr>
        <w:tc>
          <w:tcPr>
            <w:tcW w:w="3720" w:type="dxa"/>
            <w:vMerge w:val="restart"/>
            <w:tcBorders>
              <w:top w:val="nil"/>
              <w:left w:val="single" w:sz="8" w:space="0" w:color="auto"/>
              <w:bottom w:val="single" w:sz="8" w:space="0" w:color="000000"/>
              <w:right w:val="nil"/>
            </w:tcBorders>
            <w:shd w:val="clear" w:color="auto" w:fill="auto"/>
            <w:noWrap/>
            <w:tcMar>
              <w:left w:w="58" w:type="dxa"/>
              <w:right w:w="58" w:type="dxa"/>
            </w:tcMar>
            <w:textDirection w:val="btLr"/>
            <w:vAlign w:val="center"/>
            <w:hideMark/>
          </w:tcPr>
          <w:p w14:paraId="5BB5F566" w14:textId="77777777" w:rsidR="00EE4EB6" w:rsidRPr="005745C6" w:rsidRDefault="00EE4EB6" w:rsidP="00EE4EB6">
            <w:pPr>
              <w:spacing w:after="0" w:line="240" w:lineRule="auto"/>
              <w:jc w:val="center"/>
              <w:rPr>
                <w:rFonts w:eastAsia="Times New Roman" w:cs="Times New Roman"/>
                <w:b/>
                <w:bCs/>
                <w:color w:val="000000"/>
                <w:sz w:val="18"/>
                <w:szCs w:val="28"/>
              </w:rPr>
            </w:pPr>
            <w:r w:rsidRPr="005745C6">
              <w:rPr>
                <w:rFonts w:eastAsia="Times New Roman" w:cs="Times New Roman"/>
                <w:b/>
                <w:bCs/>
                <w:color w:val="000000"/>
                <w:sz w:val="18"/>
                <w:szCs w:val="28"/>
              </w:rPr>
              <w:t>Lye Brook</w:t>
            </w: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6E9420E5"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1</w:t>
            </w:r>
          </w:p>
        </w:tc>
        <w:tc>
          <w:tcPr>
            <w:tcW w:w="1005" w:type="dxa"/>
            <w:tcBorders>
              <w:top w:val="single" w:sz="8" w:space="0" w:color="auto"/>
              <w:left w:val="single" w:sz="4" w:space="0" w:color="auto"/>
              <w:bottom w:val="nil"/>
              <w:right w:val="nil"/>
            </w:tcBorders>
            <w:shd w:val="clear" w:color="auto" w:fill="auto"/>
            <w:noWrap/>
            <w:tcMar>
              <w:left w:w="58" w:type="dxa"/>
              <w:right w:w="58" w:type="dxa"/>
            </w:tcMar>
            <w:vAlign w:val="center"/>
            <w:hideMark/>
          </w:tcPr>
          <w:p w14:paraId="43BEDF09"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OH</w:t>
            </w:r>
          </w:p>
        </w:tc>
        <w:tc>
          <w:tcPr>
            <w:tcW w:w="1241" w:type="dxa"/>
            <w:tcBorders>
              <w:top w:val="single" w:sz="8" w:space="0" w:color="auto"/>
              <w:left w:val="nil"/>
              <w:bottom w:val="nil"/>
              <w:right w:val="nil"/>
            </w:tcBorders>
            <w:shd w:val="clear" w:color="auto" w:fill="auto"/>
            <w:noWrap/>
            <w:tcMar>
              <w:left w:w="58" w:type="dxa"/>
              <w:right w:w="58" w:type="dxa"/>
            </w:tcMar>
            <w:vAlign w:val="center"/>
            <w:hideMark/>
          </w:tcPr>
          <w:p w14:paraId="0C7F4134"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0.114401027</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08F50EB5" w14:textId="548A16DF"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PA</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3C41ECAD" w14:textId="1780C291"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0.049709278</w:t>
            </w:r>
          </w:p>
        </w:tc>
      </w:tr>
      <w:tr w:rsidR="00EE4EB6" w:rsidRPr="005745C6" w14:paraId="0B7C853C"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4971422B"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19044B15"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2</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54C127D7"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PA</w:t>
            </w:r>
          </w:p>
        </w:tc>
        <w:tc>
          <w:tcPr>
            <w:tcW w:w="1241" w:type="dxa"/>
            <w:tcBorders>
              <w:top w:val="nil"/>
              <w:left w:val="nil"/>
              <w:bottom w:val="nil"/>
              <w:right w:val="nil"/>
            </w:tcBorders>
            <w:shd w:val="clear" w:color="auto" w:fill="auto"/>
            <w:noWrap/>
            <w:tcMar>
              <w:left w:w="58" w:type="dxa"/>
              <w:right w:w="58" w:type="dxa"/>
            </w:tcMar>
            <w:vAlign w:val="center"/>
            <w:hideMark/>
          </w:tcPr>
          <w:p w14:paraId="11223A53"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0.098398004</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6924461C" w14:textId="54F009B1"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OH</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2FA296B6" w14:textId="7000F922"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0.035424463</w:t>
            </w:r>
          </w:p>
        </w:tc>
      </w:tr>
      <w:tr w:rsidR="00EE4EB6" w:rsidRPr="005745C6" w14:paraId="3532D4E1"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430FFC5A"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5750F351"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3</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57935679"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IN</w:t>
            </w:r>
          </w:p>
        </w:tc>
        <w:tc>
          <w:tcPr>
            <w:tcW w:w="1241" w:type="dxa"/>
            <w:tcBorders>
              <w:top w:val="nil"/>
              <w:left w:val="nil"/>
              <w:bottom w:val="nil"/>
              <w:right w:val="nil"/>
            </w:tcBorders>
            <w:shd w:val="clear" w:color="auto" w:fill="auto"/>
            <w:noWrap/>
            <w:tcMar>
              <w:left w:w="58" w:type="dxa"/>
              <w:right w:w="58" w:type="dxa"/>
            </w:tcMar>
            <w:vAlign w:val="center"/>
            <w:hideMark/>
          </w:tcPr>
          <w:p w14:paraId="4A6936F3"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0.051105607</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416DDDB2" w14:textId="0EFFFC5E"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TX</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2EDED234" w14:textId="3956836A"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0.027899648</w:t>
            </w:r>
          </w:p>
        </w:tc>
      </w:tr>
      <w:tr w:rsidR="00EE4EB6" w:rsidRPr="005745C6" w14:paraId="17296D47"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7A1D9A38"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5CB2586B"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4</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40F6E74C"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MI</w:t>
            </w:r>
          </w:p>
        </w:tc>
        <w:tc>
          <w:tcPr>
            <w:tcW w:w="1241" w:type="dxa"/>
            <w:tcBorders>
              <w:top w:val="nil"/>
              <w:left w:val="nil"/>
              <w:bottom w:val="nil"/>
              <w:right w:val="nil"/>
            </w:tcBorders>
            <w:shd w:val="clear" w:color="auto" w:fill="auto"/>
            <w:noWrap/>
            <w:tcMar>
              <w:left w:w="58" w:type="dxa"/>
              <w:right w:w="58" w:type="dxa"/>
            </w:tcMar>
            <w:vAlign w:val="center"/>
            <w:hideMark/>
          </w:tcPr>
          <w:p w14:paraId="5B143410"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0.044568087</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311E2168" w14:textId="56DD289C"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IN</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6BF45338" w14:textId="2B8D5C31"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0.022562486</w:t>
            </w:r>
          </w:p>
        </w:tc>
      </w:tr>
      <w:tr w:rsidR="00EE4EB6" w:rsidRPr="005745C6" w14:paraId="4AC0AF43"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2B51FFDB"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single" w:sz="8" w:space="0" w:color="auto"/>
              <w:right w:val="single" w:sz="4" w:space="0" w:color="auto"/>
            </w:tcBorders>
            <w:shd w:val="clear" w:color="auto" w:fill="auto"/>
            <w:noWrap/>
            <w:tcMar>
              <w:left w:w="58" w:type="dxa"/>
              <w:right w:w="58" w:type="dxa"/>
            </w:tcMar>
            <w:vAlign w:val="center"/>
            <w:hideMark/>
          </w:tcPr>
          <w:p w14:paraId="03D13DD8"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5</w:t>
            </w:r>
          </w:p>
        </w:tc>
        <w:tc>
          <w:tcPr>
            <w:tcW w:w="1005" w:type="dxa"/>
            <w:tcBorders>
              <w:top w:val="nil"/>
              <w:left w:val="single" w:sz="4" w:space="0" w:color="auto"/>
              <w:bottom w:val="single" w:sz="8" w:space="0" w:color="auto"/>
              <w:right w:val="nil"/>
            </w:tcBorders>
            <w:shd w:val="clear" w:color="auto" w:fill="auto"/>
            <w:noWrap/>
            <w:tcMar>
              <w:left w:w="58" w:type="dxa"/>
              <w:right w:w="58" w:type="dxa"/>
            </w:tcMar>
            <w:vAlign w:val="center"/>
            <w:hideMark/>
          </w:tcPr>
          <w:p w14:paraId="0D3E2D50"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NY</w:t>
            </w:r>
          </w:p>
        </w:tc>
        <w:tc>
          <w:tcPr>
            <w:tcW w:w="1241" w:type="dxa"/>
            <w:tcBorders>
              <w:top w:val="nil"/>
              <w:left w:val="nil"/>
              <w:bottom w:val="single" w:sz="8" w:space="0" w:color="auto"/>
              <w:right w:val="nil"/>
            </w:tcBorders>
            <w:shd w:val="clear" w:color="auto" w:fill="auto"/>
            <w:noWrap/>
            <w:tcMar>
              <w:left w:w="58" w:type="dxa"/>
              <w:right w:w="58" w:type="dxa"/>
            </w:tcMar>
            <w:vAlign w:val="center"/>
            <w:hideMark/>
          </w:tcPr>
          <w:p w14:paraId="255CFF20"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0.032786194</w:t>
            </w:r>
          </w:p>
        </w:tc>
        <w:tc>
          <w:tcPr>
            <w:tcW w:w="1214" w:type="dxa"/>
            <w:tcBorders>
              <w:top w:val="nil"/>
              <w:left w:val="single" w:sz="8" w:space="0" w:color="auto"/>
              <w:bottom w:val="single" w:sz="8" w:space="0" w:color="auto"/>
              <w:right w:val="nil"/>
            </w:tcBorders>
            <w:shd w:val="clear" w:color="auto" w:fill="auto"/>
            <w:noWrap/>
            <w:tcMar>
              <w:left w:w="58" w:type="dxa"/>
              <w:right w:w="58" w:type="dxa"/>
            </w:tcMar>
            <w:vAlign w:val="bottom"/>
            <w:hideMark/>
          </w:tcPr>
          <w:p w14:paraId="7BB436C7" w14:textId="22967AAB"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MO</w:t>
            </w:r>
          </w:p>
        </w:tc>
        <w:tc>
          <w:tcPr>
            <w:tcW w:w="1260" w:type="dxa"/>
            <w:tcBorders>
              <w:top w:val="nil"/>
              <w:left w:val="nil"/>
              <w:bottom w:val="single" w:sz="8" w:space="0" w:color="auto"/>
              <w:right w:val="single" w:sz="8" w:space="0" w:color="auto"/>
            </w:tcBorders>
            <w:shd w:val="clear" w:color="auto" w:fill="auto"/>
            <w:noWrap/>
            <w:tcMar>
              <w:left w:w="58" w:type="dxa"/>
              <w:right w:w="58" w:type="dxa"/>
            </w:tcMar>
            <w:vAlign w:val="bottom"/>
            <w:hideMark/>
          </w:tcPr>
          <w:p w14:paraId="4BA66D6C" w14:textId="70545C56"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0.020612201</w:t>
            </w:r>
          </w:p>
        </w:tc>
      </w:tr>
      <w:tr w:rsidR="00EE4EB6" w:rsidRPr="005745C6" w14:paraId="1D08386F" w14:textId="77777777" w:rsidTr="00367BAD">
        <w:trPr>
          <w:cantSplit/>
          <w:trHeight w:val="58"/>
        </w:trPr>
        <w:tc>
          <w:tcPr>
            <w:tcW w:w="3720" w:type="dxa"/>
            <w:vMerge w:val="restart"/>
            <w:tcBorders>
              <w:top w:val="nil"/>
              <w:left w:val="single" w:sz="8" w:space="0" w:color="auto"/>
              <w:bottom w:val="single" w:sz="8" w:space="0" w:color="000000"/>
              <w:right w:val="nil"/>
            </w:tcBorders>
            <w:shd w:val="clear" w:color="auto" w:fill="auto"/>
            <w:noWrap/>
            <w:tcMar>
              <w:left w:w="58" w:type="dxa"/>
              <w:right w:w="58" w:type="dxa"/>
            </w:tcMar>
            <w:textDirection w:val="btLr"/>
            <w:vAlign w:val="center"/>
            <w:hideMark/>
          </w:tcPr>
          <w:p w14:paraId="5D106DD0" w14:textId="77777777" w:rsidR="00EE4EB6" w:rsidRPr="005745C6" w:rsidRDefault="00EE4EB6" w:rsidP="00EE4EB6">
            <w:pPr>
              <w:spacing w:after="0" w:line="240" w:lineRule="auto"/>
              <w:jc w:val="center"/>
              <w:rPr>
                <w:rFonts w:eastAsia="Times New Roman" w:cs="Times New Roman"/>
                <w:b/>
                <w:bCs/>
                <w:color w:val="000000"/>
                <w:sz w:val="18"/>
                <w:szCs w:val="28"/>
              </w:rPr>
            </w:pPr>
            <w:r w:rsidRPr="005745C6">
              <w:rPr>
                <w:rFonts w:eastAsia="Times New Roman" w:cs="Times New Roman"/>
                <w:b/>
                <w:bCs/>
                <w:color w:val="000000"/>
                <w:sz w:val="18"/>
                <w:szCs w:val="28"/>
              </w:rPr>
              <w:t>Moosehorn</w:t>
            </w: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5A51A18C"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1</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08AF61A9"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OH</w:t>
            </w:r>
          </w:p>
        </w:tc>
        <w:tc>
          <w:tcPr>
            <w:tcW w:w="1241" w:type="dxa"/>
            <w:tcBorders>
              <w:top w:val="nil"/>
              <w:left w:val="nil"/>
              <w:bottom w:val="nil"/>
              <w:right w:val="nil"/>
            </w:tcBorders>
            <w:shd w:val="clear" w:color="auto" w:fill="auto"/>
            <w:noWrap/>
            <w:tcMar>
              <w:left w:w="58" w:type="dxa"/>
              <w:right w:w="58" w:type="dxa"/>
            </w:tcMar>
            <w:vAlign w:val="center"/>
            <w:hideMark/>
          </w:tcPr>
          <w:p w14:paraId="4B425627"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0.08457113</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4AEFF421" w14:textId="662F55D1"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PA</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72756748" w14:textId="2203BB8C"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0.028814579</w:t>
            </w:r>
          </w:p>
        </w:tc>
      </w:tr>
      <w:tr w:rsidR="00EE4EB6" w:rsidRPr="005745C6" w14:paraId="36E2F414"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5F69B6CA"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7596539F"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2</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2312FEB6"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PA</w:t>
            </w:r>
          </w:p>
        </w:tc>
        <w:tc>
          <w:tcPr>
            <w:tcW w:w="1241" w:type="dxa"/>
            <w:tcBorders>
              <w:top w:val="nil"/>
              <w:left w:val="nil"/>
              <w:bottom w:val="nil"/>
              <w:right w:val="nil"/>
            </w:tcBorders>
            <w:shd w:val="clear" w:color="auto" w:fill="auto"/>
            <w:noWrap/>
            <w:tcMar>
              <w:left w:w="58" w:type="dxa"/>
              <w:right w:w="58" w:type="dxa"/>
            </w:tcMar>
            <w:vAlign w:val="center"/>
            <w:hideMark/>
          </w:tcPr>
          <w:p w14:paraId="2AC26103"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0.053933613</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7E108235" w14:textId="74909699"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OH</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5A602E74" w14:textId="76D2BBFE"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0.028212134</w:t>
            </w:r>
          </w:p>
        </w:tc>
      </w:tr>
      <w:tr w:rsidR="00EE4EB6" w:rsidRPr="005745C6" w14:paraId="497165EB"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3BBA783C"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7BA36EE2"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3</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47E1D32E"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IN</w:t>
            </w:r>
          </w:p>
        </w:tc>
        <w:tc>
          <w:tcPr>
            <w:tcW w:w="1241" w:type="dxa"/>
            <w:tcBorders>
              <w:top w:val="nil"/>
              <w:left w:val="nil"/>
              <w:bottom w:val="nil"/>
              <w:right w:val="nil"/>
            </w:tcBorders>
            <w:shd w:val="clear" w:color="auto" w:fill="auto"/>
            <w:noWrap/>
            <w:tcMar>
              <w:left w:w="58" w:type="dxa"/>
              <w:right w:w="58" w:type="dxa"/>
            </w:tcMar>
            <w:vAlign w:val="center"/>
            <w:hideMark/>
          </w:tcPr>
          <w:p w14:paraId="3D6F67F3"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0.047024234</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75F39FC1" w14:textId="7508A311"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TX</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1E449E16" w14:textId="1FDECF9B"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0.026652076</w:t>
            </w:r>
          </w:p>
        </w:tc>
      </w:tr>
      <w:tr w:rsidR="00EE4EB6" w:rsidRPr="005745C6" w14:paraId="14EB95CB"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1E5FBD7E"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59F54B6F"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4</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325BD829"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MI</w:t>
            </w:r>
          </w:p>
        </w:tc>
        <w:tc>
          <w:tcPr>
            <w:tcW w:w="1241" w:type="dxa"/>
            <w:tcBorders>
              <w:top w:val="nil"/>
              <w:left w:val="nil"/>
              <w:bottom w:val="nil"/>
              <w:right w:val="nil"/>
            </w:tcBorders>
            <w:shd w:val="clear" w:color="auto" w:fill="auto"/>
            <w:noWrap/>
            <w:tcMar>
              <w:left w:w="58" w:type="dxa"/>
              <w:right w:w="58" w:type="dxa"/>
            </w:tcMar>
            <w:vAlign w:val="center"/>
            <w:hideMark/>
          </w:tcPr>
          <w:p w14:paraId="088079E2"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0.038105112</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43D0968A" w14:textId="43F29C21"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MO</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342BF1E4" w14:textId="6EE6B7C3"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0.022926812</w:t>
            </w:r>
          </w:p>
        </w:tc>
      </w:tr>
      <w:tr w:rsidR="00EE4EB6" w:rsidRPr="005745C6" w14:paraId="1C17EC14"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2CDE37AE"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single" w:sz="8" w:space="0" w:color="auto"/>
              <w:right w:val="single" w:sz="4" w:space="0" w:color="auto"/>
            </w:tcBorders>
            <w:shd w:val="clear" w:color="auto" w:fill="auto"/>
            <w:noWrap/>
            <w:tcMar>
              <w:left w:w="58" w:type="dxa"/>
              <w:right w:w="58" w:type="dxa"/>
            </w:tcMar>
            <w:vAlign w:val="center"/>
            <w:hideMark/>
          </w:tcPr>
          <w:p w14:paraId="640AEB1F"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5</w:t>
            </w:r>
          </w:p>
        </w:tc>
        <w:tc>
          <w:tcPr>
            <w:tcW w:w="1005" w:type="dxa"/>
            <w:tcBorders>
              <w:top w:val="nil"/>
              <w:left w:val="single" w:sz="4" w:space="0" w:color="auto"/>
              <w:bottom w:val="single" w:sz="8" w:space="0" w:color="auto"/>
              <w:right w:val="nil"/>
            </w:tcBorders>
            <w:shd w:val="clear" w:color="auto" w:fill="auto"/>
            <w:noWrap/>
            <w:tcMar>
              <w:left w:w="58" w:type="dxa"/>
              <w:right w:w="58" w:type="dxa"/>
            </w:tcMar>
            <w:vAlign w:val="center"/>
            <w:hideMark/>
          </w:tcPr>
          <w:p w14:paraId="11EAE718"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IL</w:t>
            </w:r>
          </w:p>
        </w:tc>
        <w:tc>
          <w:tcPr>
            <w:tcW w:w="1241" w:type="dxa"/>
            <w:tcBorders>
              <w:top w:val="nil"/>
              <w:left w:val="nil"/>
              <w:bottom w:val="single" w:sz="8" w:space="0" w:color="auto"/>
              <w:right w:val="nil"/>
            </w:tcBorders>
            <w:shd w:val="clear" w:color="auto" w:fill="auto"/>
            <w:noWrap/>
            <w:tcMar>
              <w:left w:w="58" w:type="dxa"/>
              <w:right w:w="58" w:type="dxa"/>
            </w:tcMar>
            <w:vAlign w:val="center"/>
            <w:hideMark/>
          </w:tcPr>
          <w:p w14:paraId="7BB04D98"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0.031793931</w:t>
            </w:r>
          </w:p>
        </w:tc>
        <w:tc>
          <w:tcPr>
            <w:tcW w:w="1214" w:type="dxa"/>
            <w:tcBorders>
              <w:top w:val="nil"/>
              <w:left w:val="single" w:sz="8" w:space="0" w:color="auto"/>
              <w:bottom w:val="single" w:sz="8" w:space="0" w:color="auto"/>
              <w:right w:val="nil"/>
            </w:tcBorders>
            <w:shd w:val="clear" w:color="auto" w:fill="auto"/>
            <w:noWrap/>
            <w:tcMar>
              <w:left w:w="58" w:type="dxa"/>
              <w:right w:w="58" w:type="dxa"/>
            </w:tcMar>
            <w:vAlign w:val="bottom"/>
            <w:hideMark/>
          </w:tcPr>
          <w:p w14:paraId="359DC42B" w14:textId="2F52795D"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IN</w:t>
            </w:r>
          </w:p>
        </w:tc>
        <w:tc>
          <w:tcPr>
            <w:tcW w:w="1260" w:type="dxa"/>
            <w:tcBorders>
              <w:top w:val="nil"/>
              <w:left w:val="nil"/>
              <w:bottom w:val="single" w:sz="8" w:space="0" w:color="auto"/>
              <w:right w:val="single" w:sz="8" w:space="0" w:color="auto"/>
            </w:tcBorders>
            <w:shd w:val="clear" w:color="auto" w:fill="auto"/>
            <w:noWrap/>
            <w:tcMar>
              <w:left w:w="58" w:type="dxa"/>
              <w:right w:w="58" w:type="dxa"/>
            </w:tcMar>
            <w:vAlign w:val="bottom"/>
            <w:hideMark/>
          </w:tcPr>
          <w:p w14:paraId="007B7A85" w14:textId="3BD51F73"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0.020562191</w:t>
            </w:r>
          </w:p>
        </w:tc>
      </w:tr>
      <w:tr w:rsidR="00EE4EB6" w:rsidRPr="005745C6" w14:paraId="2754F16F" w14:textId="77777777" w:rsidTr="00367BAD">
        <w:trPr>
          <w:cantSplit/>
          <w:trHeight w:val="58"/>
        </w:trPr>
        <w:tc>
          <w:tcPr>
            <w:tcW w:w="3720" w:type="dxa"/>
            <w:vMerge w:val="restart"/>
            <w:tcBorders>
              <w:top w:val="nil"/>
              <w:left w:val="single" w:sz="8" w:space="0" w:color="auto"/>
              <w:bottom w:val="single" w:sz="8" w:space="0" w:color="000000"/>
              <w:right w:val="nil"/>
            </w:tcBorders>
            <w:shd w:val="clear" w:color="auto" w:fill="auto"/>
            <w:noWrap/>
            <w:tcMar>
              <w:left w:w="58" w:type="dxa"/>
              <w:right w:w="58" w:type="dxa"/>
            </w:tcMar>
            <w:textDirection w:val="btLr"/>
            <w:vAlign w:val="center"/>
            <w:hideMark/>
          </w:tcPr>
          <w:p w14:paraId="5CC871BD" w14:textId="77777777" w:rsidR="00EE4EB6" w:rsidRPr="005745C6" w:rsidRDefault="00EE4EB6" w:rsidP="00EE4EB6">
            <w:pPr>
              <w:spacing w:after="0" w:line="240" w:lineRule="auto"/>
              <w:jc w:val="center"/>
              <w:rPr>
                <w:rFonts w:eastAsia="Times New Roman" w:cs="Times New Roman"/>
                <w:b/>
                <w:bCs/>
                <w:color w:val="000000"/>
                <w:sz w:val="18"/>
                <w:szCs w:val="28"/>
              </w:rPr>
            </w:pPr>
            <w:r w:rsidRPr="005745C6">
              <w:rPr>
                <w:rFonts w:eastAsia="Times New Roman" w:cs="Times New Roman"/>
                <w:b/>
                <w:bCs/>
                <w:color w:val="000000"/>
                <w:sz w:val="18"/>
                <w:szCs w:val="28"/>
              </w:rPr>
              <w:t>Shenandoah</w:t>
            </w: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10C04707"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1</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3B718DCB"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OH</w:t>
            </w:r>
          </w:p>
        </w:tc>
        <w:tc>
          <w:tcPr>
            <w:tcW w:w="1241" w:type="dxa"/>
            <w:tcBorders>
              <w:top w:val="nil"/>
              <w:left w:val="nil"/>
              <w:bottom w:val="nil"/>
              <w:right w:val="nil"/>
            </w:tcBorders>
            <w:shd w:val="clear" w:color="auto" w:fill="auto"/>
            <w:noWrap/>
            <w:tcMar>
              <w:left w:w="58" w:type="dxa"/>
              <w:right w:w="58" w:type="dxa"/>
            </w:tcMar>
            <w:vAlign w:val="center"/>
            <w:hideMark/>
          </w:tcPr>
          <w:p w14:paraId="0E596BB5"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0.223136587</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1785B2C2" w14:textId="5EE15D26"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PA</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7F277232" w14:textId="75588D06"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0.066894227</w:t>
            </w:r>
          </w:p>
        </w:tc>
      </w:tr>
      <w:tr w:rsidR="00EE4EB6" w:rsidRPr="005745C6" w14:paraId="65E753B9"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00BF002D"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3A767173" w14:textId="0F3D5B9A"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2</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6CEB1DF8"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PA</w:t>
            </w:r>
          </w:p>
        </w:tc>
        <w:tc>
          <w:tcPr>
            <w:tcW w:w="1241" w:type="dxa"/>
            <w:tcBorders>
              <w:top w:val="nil"/>
              <w:left w:val="nil"/>
              <w:bottom w:val="nil"/>
              <w:right w:val="nil"/>
            </w:tcBorders>
            <w:shd w:val="clear" w:color="auto" w:fill="auto"/>
            <w:noWrap/>
            <w:tcMar>
              <w:left w:w="58" w:type="dxa"/>
              <w:right w:w="58" w:type="dxa"/>
            </w:tcMar>
            <w:vAlign w:val="center"/>
            <w:hideMark/>
          </w:tcPr>
          <w:p w14:paraId="12E9AC8E"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0.129388586</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298D87FF" w14:textId="34000EF4"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OH</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35A71542" w14:textId="221021C8"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0.058558198</w:t>
            </w:r>
          </w:p>
        </w:tc>
      </w:tr>
      <w:tr w:rsidR="00EE4EB6" w:rsidRPr="005745C6" w14:paraId="1F41322C"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7683DCBC"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3BB81427"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3</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1FE9FFC0"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IN</w:t>
            </w:r>
          </w:p>
        </w:tc>
        <w:tc>
          <w:tcPr>
            <w:tcW w:w="1241" w:type="dxa"/>
            <w:tcBorders>
              <w:top w:val="nil"/>
              <w:left w:val="nil"/>
              <w:bottom w:val="nil"/>
              <w:right w:val="nil"/>
            </w:tcBorders>
            <w:shd w:val="clear" w:color="auto" w:fill="auto"/>
            <w:noWrap/>
            <w:tcMar>
              <w:left w:w="58" w:type="dxa"/>
              <w:right w:w="58" w:type="dxa"/>
            </w:tcMar>
            <w:vAlign w:val="center"/>
            <w:hideMark/>
          </w:tcPr>
          <w:p w14:paraId="6F052B95"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0.07666613</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3465F43B" w14:textId="161B6F47"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WV</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46575413" w14:textId="571E490E"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0.038467176</w:t>
            </w:r>
          </w:p>
        </w:tc>
      </w:tr>
      <w:tr w:rsidR="00EE4EB6" w:rsidRPr="005745C6" w14:paraId="747218AE"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232E9096"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nil"/>
              <w:right w:val="single" w:sz="4" w:space="0" w:color="auto"/>
            </w:tcBorders>
            <w:shd w:val="clear" w:color="auto" w:fill="auto"/>
            <w:noWrap/>
            <w:tcMar>
              <w:left w:w="58" w:type="dxa"/>
              <w:right w:w="58" w:type="dxa"/>
            </w:tcMar>
            <w:vAlign w:val="center"/>
            <w:hideMark/>
          </w:tcPr>
          <w:p w14:paraId="4C6D92B9"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4</w:t>
            </w:r>
          </w:p>
        </w:tc>
        <w:tc>
          <w:tcPr>
            <w:tcW w:w="1005" w:type="dxa"/>
            <w:tcBorders>
              <w:top w:val="nil"/>
              <w:left w:val="single" w:sz="4" w:space="0" w:color="auto"/>
              <w:bottom w:val="nil"/>
              <w:right w:val="nil"/>
            </w:tcBorders>
            <w:shd w:val="clear" w:color="auto" w:fill="auto"/>
            <w:noWrap/>
            <w:tcMar>
              <w:left w:w="58" w:type="dxa"/>
              <w:right w:w="58" w:type="dxa"/>
            </w:tcMar>
            <w:vAlign w:val="center"/>
            <w:hideMark/>
          </w:tcPr>
          <w:p w14:paraId="22A2A0F2"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WV</w:t>
            </w:r>
          </w:p>
        </w:tc>
        <w:tc>
          <w:tcPr>
            <w:tcW w:w="1241" w:type="dxa"/>
            <w:tcBorders>
              <w:top w:val="nil"/>
              <w:left w:val="nil"/>
              <w:bottom w:val="nil"/>
              <w:right w:val="nil"/>
            </w:tcBorders>
            <w:shd w:val="clear" w:color="auto" w:fill="auto"/>
            <w:noWrap/>
            <w:tcMar>
              <w:left w:w="58" w:type="dxa"/>
              <w:right w:w="58" w:type="dxa"/>
            </w:tcMar>
            <w:vAlign w:val="center"/>
            <w:hideMark/>
          </w:tcPr>
          <w:p w14:paraId="5405204E"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0.063798543</w:t>
            </w:r>
          </w:p>
        </w:tc>
        <w:tc>
          <w:tcPr>
            <w:tcW w:w="1214" w:type="dxa"/>
            <w:tcBorders>
              <w:top w:val="nil"/>
              <w:left w:val="single" w:sz="8" w:space="0" w:color="auto"/>
              <w:bottom w:val="nil"/>
              <w:right w:val="nil"/>
            </w:tcBorders>
            <w:shd w:val="clear" w:color="auto" w:fill="auto"/>
            <w:noWrap/>
            <w:tcMar>
              <w:left w:w="58" w:type="dxa"/>
              <w:right w:w="58" w:type="dxa"/>
            </w:tcMar>
            <w:vAlign w:val="bottom"/>
            <w:hideMark/>
          </w:tcPr>
          <w:p w14:paraId="63B5399C" w14:textId="649D8995"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TX</w:t>
            </w:r>
          </w:p>
        </w:tc>
        <w:tc>
          <w:tcPr>
            <w:tcW w:w="1260" w:type="dxa"/>
            <w:tcBorders>
              <w:top w:val="nil"/>
              <w:left w:val="nil"/>
              <w:bottom w:val="nil"/>
              <w:right w:val="single" w:sz="8" w:space="0" w:color="auto"/>
            </w:tcBorders>
            <w:shd w:val="clear" w:color="auto" w:fill="auto"/>
            <w:noWrap/>
            <w:tcMar>
              <w:left w:w="58" w:type="dxa"/>
              <w:right w:w="58" w:type="dxa"/>
            </w:tcMar>
            <w:vAlign w:val="bottom"/>
            <w:hideMark/>
          </w:tcPr>
          <w:p w14:paraId="3A6FF761" w14:textId="3703A8AB"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0.032531606</w:t>
            </w:r>
          </w:p>
        </w:tc>
      </w:tr>
      <w:tr w:rsidR="00EE4EB6" w:rsidRPr="005745C6" w14:paraId="50F8B465" w14:textId="77777777" w:rsidTr="00367BAD">
        <w:trPr>
          <w:cantSplit/>
          <w:trHeight w:val="58"/>
        </w:trPr>
        <w:tc>
          <w:tcPr>
            <w:tcW w:w="3720" w:type="dxa"/>
            <w:vMerge/>
            <w:tcBorders>
              <w:top w:val="nil"/>
              <w:left w:val="single" w:sz="8" w:space="0" w:color="auto"/>
              <w:bottom w:val="single" w:sz="8" w:space="0" w:color="000000"/>
              <w:right w:val="nil"/>
            </w:tcBorders>
            <w:tcMar>
              <w:left w:w="58" w:type="dxa"/>
              <w:right w:w="58" w:type="dxa"/>
            </w:tcMar>
            <w:vAlign w:val="center"/>
            <w:hideMark/>
          </w:tcPr>
          <w:p w14:paraId="5829C03F" w14:textId="77777777" w:rsidR="00EE4EB6" w:rsidRPr="005745C6" w:rsidRDefault="00EE4EB6" w:rsidP="00EE4EB6">
            <w:pPr>
              <w:spacing w:after="0" w:line="240" w:lineRule="auto"/>
              <w:rPr>
                <w:rFonts w:eastAsia="Times New Roman" w:cs="Times New Roman"/>
                <w:b/>
                <w:bCs/>
                <w:color w:val="000000"/>
                <w:sz w:val="18"/>
                <w:szCs w:val="28"/>
              </w:rPr>
            </w:pPr>
          </w:p>
        </w:tc>
        <w:tc>
          <w:tcPr>
            <w:tcW w:w="820" w:type="dxa"/>
            <w:tcBorders>
              <w:top w:val="nil"/>
              <w:left w:val="nil"/>
              <w:bottom w:val="single" w:sz="8" w:space="0" w:color="auto"/>
              <w:right w:val="single" w:sz="4" w:space="0" w:color="auto"/>
            </w:tcBorders>
            <w:shd w:val="clear" w:color="auto" w:fill="auto"/>
            <w:noWrap/>
            <w:tcMar>
              <w:left w:w="58" w:type="dxa"/>
              <w:right w:w="58" w:type="dxa"/>
            </w:tcMar>
            <w:vAlign w:val="center"/>
            <w:hideMark/>
          </w:tcPr>
          <w:p w14:paraId="54C12699" w14:textId="77777777" w:rsidR="00EE4EB6" w:rsidRPr="00570283" w:rsidRDefault="00EE4EB6" w:rsidP="00EE4EB6">
            <w:pPr>
              <w:spacing w:after="0" w:line="240" w:lineRule="auto"/>
              <w:jc w:val="center"/>
              <w:rPr>
                <w:rFonts w:eastAsia="Times New Roman" w:cs="Times New Roman"/>
                <w:b/>
                <w:bCs/>
                <w:color w:val="000000"/>
                <w:sz w:val="20"/>
                <w:szCs w:val="28"/>
              </w:rPr>
            </w:pPr>
            <w:r w:rsidRPr="00570283">
              <w:rPr>
                <w:rFonts w:eastAsia="Times New Roman" w:cs="Times New Roman"/>
                <w:b/>
                <w:bCs/>
                <w:color w:val="000000"/>
                <w:sz w:val="20"/>
                <w:szCs w:val="28"/>
              </w:rPr>
              <w:t>5</w:t>
            </w:r>
          </w:p>
        </w:tc>
        <w:tc>
          <w:tcPr>
            <w:tcW w:w="1005" w:type="dxa"/>
            <w:tcBorders>
              <w:top w:val="nil"/>
              <w:left w:val="single" w:sz="4" w:space="0" w:color="auto"/>
              <w:bottom w:val="single" w:sz="8" w:space="0" w:color="auto"/>
              <w:right w:val="nil"/>
            </w:tcBorders>
            <w:shd w:val="clear" w:color="auto" w:fill="auto"/>
            <w:noWrap/>
            <w:tcMar>
              <w:left w:w="58" w:type="dxa"/>
              <w:right w:w="58" w:type="dxa"/>
            </w:tcMar>
            <w:vAlign w:val="center"/>
            <w:hideMark/>
          </w:tcPr>
          <w:p w14:paraId="10F2A323"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KY</w:t>
            </w:r>
          </w:p>
        </w:tc>
        <w:tc>
          <w:tcPr>
            <w:tcW w:w="1241" w:type="dxa"/>
            <w:tcBorders>
              <w:top w:val="nil"/>
              <w:left w:val="nil"/>
              <w:bottom w:val="single" w:sz="8" w:space="0" w:color="auto"/>
              <w:right w:val="nil"/>
            </w:tcBorders>
            <w:shd w:val="clear" w:color="auto" w:fill="auto"/>
            <w:noWrap/>
            <w:tcMar>
              <w:left w:w="58" w:type="dxa"/>
              <w:right w:w="58" w:type="dxa"/>
            </w:tcMar>
            <w:vAlign w:val="center"/>
            <w:hideMark/>
          </w:tcPr>
          <w:p w14:paraId="47692A3D" w14:textId="77777777" w:rsidR="00EE4EB6" w:rsidRPr="00570283" w:rsidRDefault="00EE4EB6" w:rsidP="00EE4EB6">
            <w:pPr>
              <w:spacing w:after="0" w:line="240" w:lineRule="auto"/>
              <w:jc w:val="center"/>
              <w:rPr>
                <w:rFonts w:eastAsia="Times New Roman" w:cs="Times New Roman"/>
                <w:color w:val="000000"/>
                <w:sz w:val="20"/>
                <w:szCs w:val="20"/>
              </w:rPr>
            </w:pPr>
            <w:r w:rsidRPr="00570283">
              <w:rPr>
                <w:rFonts w:eastAsia="Times New Roman" w:cs="Times New Roman"/>
                <w:color w:val="000000"/>
                <w:sz w:val="20"/>
                <w:szCs w:val="20"/>
              </w:rPr>
              <w:t>0.057891393</w:t>
            </w:r>
          </w:p>
        </w:tc>
        <w:tc>
          <w:tcPr>
            <w:tcW w:w="1214" w:type="dxa"/>
            <w:tcBorders>
              <w:top w:val="nil"/>
              <w:left w:val="single" w:sz="8" w:space="0" w:color="auto"/>
              <w:bottom w:val="single" w:sz="8" w:space="0" w:color="auto"/>
              <w:right w:val="nil"/>
            </w:tcBorders>
            <w:shd w:val="clear" w:color="auto" w:fill="auto"/>
            <w:noWrap/>
            <w:tcMar>
              <w:left w:w="58" w:type="dxa"/>
              <w:right w:w="58" w:type="dxa"/>
            </w:tcMar>
            <w:vAlign w:val="bottom"/>
            <w:hideMark/>
          </w:tcPr>
          <w:p w14:paraId="28864CAA" w14:textId="69FD3810"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IN</w:t>
            </w:r>
          </w:p>
        </w:tc>
        <w:tc>
          <w:tcPr>
            <w:tcW w:w="1260" w:type="dxa"/>
            <w:tcBorders>
              <w:top w:val="nil"/>
              <w:left w:val="nil"/>
              <w:bottom w:val="single" w:sz="8" w:space="0" w:color="auto"/>
              <w:right w:val="single" w:sz="8" w:space="0" w:color="auto"/>
            </w:tcBorders>
            <w:shd w:val="clear" w:color="auto" w:fill="auto"/>
            <w:noWrap/>
            <w:tcMar>
              <w:left w:w="58" w:type="dxa"/>
              <w:right w:w="58" w:type="dxa"/>
            </w:tcMar>
            <w:vAlign w:val="bottom"/>
            <w:hideMark/>
          </w:tcPr>
          <w:p w14:paraId="4337DBD1" w14:textId="2AD2D28D" w:rsidR="00EE4EB6" w:rsidRPr="00EE4EB6" w:rsidRDefault="00EE4EB6" w:rsidP="00EE4EB6">
            <w:pPr>
              <w:spacing w:after="0" w:line="240" w:lineRule="auto"/>
              <w:jc w:val="center"/>
              <w:rPr>
                <w:rFonts w:eastAsia="Times New Roman" w:cs="Times New Roman"/>
                <w:color w:val="000000"/>
                <w:sz w:val="20"/>
                <w:szCs w:val="20"/>
              </w:rPr>
            </w:pPr>
            <w:r w:rsidRPr="00EE4EB6">
              <w:rPr>
                <w:rFonts w:ascii="Calibri" w:hAnsi="Calibri"/>
                <w:color w:val="000000"/>
                <w:sz w:val="20"/>
                <w:szCs w:val="20"/>
              </w:rPr>
              <w:t>0.02970615</w:t>
            </w:r>
          </w:p>
        </w:tc>
      </w:tr>
    </w:tbl>
    <w:p w14:paraId="54CEC277" w14:textId="77777777" w:rsidR="005745C6" w:rsidRDefault="005745C6" w:rsidP="006E7046">
      <w:pPr>
        <w:pStyle w:val="Heading4"/>
      </w:pPr>
    </w:p>
    <w:p w14:paraId="1F6F66A3" w14:textId="59AD2862" w:rsidR="008669E1" w:rsidRDefault="008669E1" w:rsidP="00071A1C">
      <w:r w:rsidRPr="001076DE">
        <w:t>The Q/d c</w:t>
      </w:r>
      <w:r w:rsidR="006D2C02">
        <w:t xml:space="preserve">ontribution analysis </w:t>
      </w:r>
      <w:r w:rsidRPr="001076DE">
        <w:t>showed a promising</w:t>
      </w:r>
      <w:r w:rsidR="00A13EB2" w:rsidRPr="001076DE">
        <w:t xml:space="preserve"> downward</w:t>
      </w:r>
      <w:r w:rsidRPr="001076DE">
        <w:t xml:space="preserve"> trend </w:t>
      </w:r>
      <w:r w:rsidR="00132532">
        <w:t>at all of the c</w:t>
      </w:r>
      <w:r w:rsidR="006D2C02">
        <w:t xml:space="preserve">lass I areas with IMPROVE monitors in MANE-VU, which is </w:t>
      </w:r>
      <w:r w:rsidRPr="001076DE">
        <w:t>consistent with the ambient air quality</w:t>
      </w:r>
      <w:r w:rsidR="002B14BC">
        <w:t xml:space="preserve"> measurements</w:t>
      </w:r>
      <w:r w:rsidR="00071A1C">
        <w:t>.</w:t>
      </w:r>
      <w:r w:rsidR="001076DE">
        <w:t xml:space="preserve"> </w:t>
      </w:r>
      <w:r>
        <w:t xml:space="preserve"> </w:t>
      </w:r>
      <w:r w:rsidR="008E1138">
        <w:t>Contributions decreased a</w:t>
      </w:r>
      <w:r w:rsidR="00CA50E8">
        <w:t>t all of the</w:t>
      </w:r>
      <w:r w:rsidR="009200B8">
        <w:t xml:space="preserve"> </w:t>
      </w:r>
      <w:r w:rsidR="008E1138">
        <w:t>class I areas from 2011 to 2018, both t</w:t>
      </w:r>
      <w:r w:rsidR="00CA50E8">
        <w:t>he maximum and averag</w:t>
      </w:r>
      <w:bookmarkStart w:id="25" w:name="_GoBack"/>
      <w:bookmarkEnd w:id="25"/>
      <w:r w:rsidR="00CA50E8">
        <w:t xml:space="preserve">e state point source contributions </w:t>
      </w:r>
      <w:r w:rsidR="008E1138">
        <w:t xml:space="preserve">were reviewed, See </w:t>
      </w:r>
      <w:r w:rsidR="008E1138">
        <w:fldChar w:fldCharType="begin"/>
      </w:r>
      <w:r w:rsidR="008E1138">
        <w:instrText xml:space="preserve"> REF _Ref447095704 \h </w:instrText>
      </w:r>
      <w:r w:rsidR="008E1138">
        <w:fldChar w:fldCharType="separate"/>
      </w:r>
      <w:r w:rsidR="008E1138">
        <w:t xml:space="preserve">Figure </w:t>
      </w:r>
      <w:r w:rsidR="008E1138">
        <w:rPr>
          <w:noProof/>
        </w:rPr>
        <w:t>5</w:t>
      </w:r>
      <w:r w:rsidR="008E1138">
        <w:fldChar w:fldCharType="end"/>
      </w:r>
      <w:r w:rsidR="008E1138">
        <w:t>.</w:t>
      </w:r>
      <w:r>
        <w:t xml:space="preserve"> </w:t>
      </w:r>
      <w:r w:rsidR="008E1138">
        <w:t>T</w:t>
      </w:r>
      <w:r>
        <w:t>he contributions of the states with the largest point contributions rem</w:t>
      </w:r>
      <w:r w:rsidR="00AE1D17">
        <w:t xml:space="preserve">ain </w:t>
      </w:r>
      <w:r w:rsidR="00071A1C">
        <w:t xml:space="preserve">fairly </w:t>
      </w:r>
      <w:r w:rsidR="00AE1D17">
        <w:t>consistent</w:t>
      </w:r>
      <w:r w:rsidR="00071A1C">
        <w:t>ly in the top 5 th</w:t>
      </w:r>
      <w:r w:rsidR="002B14BC">
        <w:t>r</w:t>
      </w:r>
      <w:r w:rsidR="00071A1C">
        <w:t>o</w:t>
      </w:r>
      <w:r w:rsidR="002B14BC">
        <w:t>ug</w:t>
      </w:r>
      <w:r w:rsidR="00071A1C">
        <w:t>h New York and Virginia do drop considerably in ranking when they were in the top 5 for 2011</w:t>
      </w:r>
      <w:r w:rsidR="00AE1D17">
        <w:t xml:space="preserve">, See </w:t>
      </w:r>
      <w:r w:rsidR="00071A1C">
        <w:fldChar w:fldCharType="begin"/>
      </w:r>
      <w:r w:rsidR="00071A1C">
        <w:instrText xml:space="preserve"> REF _Ref447094929 \h </w:instrText>
      </w:r>
      <w:r w:rsidR="00071A1C">
        <w:fldChar w:fldCharType="separate"/>
      </w:r>
      <w:r w:rsidR="00EC31AC">
        <w:t xml:space="preserve">Figure </w:t>
      </w:r>
      <w:r w:rsidR="00EC31AC">
        <w:rPr>
          <w:noProof/>
        </w:rPr>
        <w:t>6</w:t>
      </w:r>
      <w:r w:rsidR="00071A1C">
        <w:fldChar w:fldCharType="end"/>
      </w:r>
      <w:r w:rsidR="004B0CFC">
        <w:t>.</w:t>
      </w:r>
    </w:p>
    <w:p w14:paraId="6720AA0B" w14:textId="5C2D5C70" w:rsidR="00CA50E8" w:rsidRDefault="00CA50E8" w:rsidP="00CA50E8">
      <w:pPr>
        <w:pStyle w:val="Caption"/>
        <w:keepNext/>
      </w:pPr>
      <w:bookmarkStart w:id="26" w:name="_Ref447095704"/>
      <w:bookmarkStart w:id="27" w:name="_Toc447733828"/>
      <w:r>
        <w:t xml:space="preserve">Figure </w:t>
      </w:r>
      <w:r w:rsidR="002B14BC">
        <w:fldChar w:fldCharType="begin"/>
      </w:r>
      <w:r w:rsidR="002B14BC">
        <w:instrText xml:space="preserve"> SEQ Figure \* ARABIC </w:instrText>
      </w:r>
      <w:r w:rsidR="002B14BC">
        <w:fldChar w:fldCharType="separate"/>
      </w:r>
      <w:r w:rsidR="004C7E13">
        <w:rPr>
          <w:noProof/>
        </w:rPr>
        <w:t>5</w:t>
      </w:r>
      <w:r w:rsidR="002B14BC">
        <w:rPr>
          <w:noProof/>
        </w:rPr>
        <w:fldChar w:fldCharType="end"/>
      </w:r>
      <w:bookmarkEnd w:id="26"/>
      <w:r>
        <w:t>: Average and maximum state point source contribution to monitored class I areas for 2011 and 2018</w:t>
      </w:r>
      <w:bookmarkEnd w:id="27"/>
    </w:p>
    <w:p w14:paraId="723765A7" w14:textId="20174BF3" w:rsidR="004B0CFC" w:rsidRDefault="00677C24" w:rsidP="008669E1">
      <w:r w:rsidRPr="00677C24">
        <w:rPr>
          <w:noProof/>
        </w:rPr>
        <w:drawing>
          <wp:inline distT="0" distB="0" distL="0" distR="0" wp14:anchorId="72CDCF55" wp14:editId="7436501C">
            <wp:extent cx="6040146" cy="28227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803" t="7711" r="134" b="3357"/>
                    <a:stretch/>
                  </pic:blipFill>
                  <pic:spPr bwMode="auto">
                    <a:xfrm>
                      <a:off x="0" y="0"/>
                      <a:ext cx="6044439" cy="2824719"/>
                    </a:xfrm>
                    <a:prstGeom prst="rect">
                      <a:avLst/>
                    </a:prstGeom>
                    <a:noFill/>
                    <a:ln>
                      <a:noFill/>
                    </a:ln>
                    <a:extLst>
                      <a:ext uri="{53640926-AAD7-44D8-BBD7-CCE9431645EC}">
                        <a14:shadowObscured xmlns:a14="http://schemas.microsoft.com/office/drawing/2010/main"/>
                      </a:ext>
                    </a:extLst>
                  </pic:spPr>
                </pic:pic>
              </a:graphicData>
            </a:graphic>
          </wp:inline>
        </w:drawing>
      </w:r>
    </w:p>
    <w:p w14:paraId="724861F1" w14:textId="3577F60B" w:rsidR="00E0415C" w:rsidRDefault="00E0415C" w:rsidP="00E0415C">
      <w:pPr>
        <w:pStyle w:val="Caption"/>
        <w:keepNext/>
      </w:pPr>
      <w:bookmarkStart w:id="28" w:name="_Ref447094929"/>
      <w:bookmarkStart w:id="29" w:name="_Toc447733829"/>
      <w:r>
        <w:t xml:space="preserve">Figure </w:t>
      </w:r>
      <w:r w:rsidR="002B14BC">
        <w:fldChar w:fldCharType="begin"/>
      </w:r>
      <w:r w:rsidR="002B14BC">
        <w:instrText xml:space="preserve"> SEQ Figure \* ARABIC </w:instrText>
      </w:r>
      <w:r w:rsidR="002B14BC">
        <w:fldChar w:fldCharType="separate"/>
      </w:r>
      <w:r w:rsidR="004C7E13">
        <w:rPr>
          <w:noProof/>
        </w:rPr>
        <w:t>6</w:t>
      </w:r>
      <w:r w:rsidR="002B14BC">
        <w:rPr>
          <w:noProof/>
        </w:rPr>
        <w:fldChar w:fldCharType="end"/>
      </w:r>
      <w:bookmarkEnd w:id="28"/>
      <w:r>
        <w:t xml:space="preserve">. </w:t>
      </w:r>
      <w:r w:rsidR="006D2C02">
        <w:t>Total point c</w:t>
      </w:r>
      <w:r>
        <w:t>ontributions</w:t>
      </w:r>
      <w:r w:rsidR="006F49F0">
        <w:t xml:space="preserve"> (and percent of total contribution in labels) </w:t>
      </w:r>
      <w:r>
        <w:t>for 2011</w:t>
      </w:r>
      <w:r w:rsidR="006D2C02">
        <w:t xml:space="preserve"> actual</w:t>
      </w:r>
      <w:r>
        <w:t xml:space="preserve"> and 2018</w:t>
      </w:r>
      <w:r w:rsidR="006D2C02">
        <w:t xml:space="preserve"> projections for state in OTC modeling domain</w:t>
      </w:r>
      <w:r>
        <w:t>.</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4457"/>
        <w:gridCol w:w="4903"/>
      </w:tblGrid>
      <w:tr w:rsidR="005D0CA6" w14:paraId="7D37EF63" w14:textId="77777777" w:rsidTr="00E96AB0">
        <w:tc>
          <w:tcPr>
            <w:tcW w:w="4457" w:type="dxa"/>
          </w:tcPr>
          <w:p w14:paraId="62EB2844" w14:textId="232E0279" w:rsidR="005D0CA6" w:rsidRDefault="005D0CA6" w:rsidP="00A009D7">
            <w:pPr>
              <w:jc w:val="center"/>
            </w:pPr>
            <w:r>
              <w:rPr>
                <w:noProof/>
              </w:rPr>
              <w:drawing>
                <wp:inline distT="0" distB="0" distL="0" distR="0" wp14:anchorId="699F7F28" wp14:editId="40879FA9">
                  <wp:extent cx="2889504" cy="7315200"/>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903" w:type="dxa"/>
          </w:tcPr>
          <w:p w14:paraId="727492FD" w14:textId="37219ABF" w:rsidR="005D0CA6" w:rsidRDefault="00DA0325" w:rsidP="00A009D7">
            <w:pPr>
              <w:jc w:val="center"/>
            </w:pPr>
            <w:r w:rsidRPr="00DA0325">
              <w:rPr>
                <w:rFonts w:eastAsia="Times New Roman" w:cs="Times New Roman"/>
                <w:noProof/>
                <w:color w:val="000000"/>
                <w:sz w:val="20"/>
                <w:szCs w:val="20"/>
              </w:rPr>
              <mc:AlternateContent>
                <mc:Choice Requires="wps">
                  <w:drawing>
                    <wp:anchor distT="45720" distB="45720" distL="114300" distR="114300" simplePos="0" relativeHeight="251659264" behindDoc="0" locked="0" layoutInCell="1" allowOverlap="1" wp14:anchorId="216DDAF6" wp14:editId="594298BF">
                      <wp:simplePos x="0" y="0"/>
                      <wp:positionH relativeFrom="column">
                        <wp:posOffset>-346710</wp:posOffset>
                      </wp:positionH>
                      <wp:positionV relativeFrom="paragraph">
                        <wp:posOffset>76200</wp:posOffset>
                      </wp:positionV>
                      <wp:extent cx="712520" cy="320040"/>
                      <wp:effectExtent l="0" t="0" r="1143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20" cy="320040"/>
                              </a:xfrm>
                              <a:prstGeom prst="rect">
                                <a:avLst/>
                              </a:prstGeom>
                              <a:solidFill>
                                <a:srgbClr val="FFFFFF"/>
                              </a:solidFill>
                              <a:ln w="9525">
                                <a:solidFill>
                                  <a:srgbClr val="000000"/>
                                </a:solidFill>
                                <a:miter lim="800000"/>
                                <a:headEnd/>
                                <a:tailEnd/>
                              </a:ln>
                            </wps:spPr>
                            <wps:txbx>
                              <w:txbxContent>
                                <w:p w14:paraId="260A30F3" w14:textId="44623285" w:rsidR="005B1E11" w:rsidRPr="00DA0325" w:rsidRDefault="005B1E11" w:rsidP="00DA0325">
                                  <w:pPr>
                                    <w:jc w:val="center"/>
                                    <w:rPr>
                                      <w:b/>
                                      <w:sz w:val="28"/>
                                      <w:szCs w:val="28"/>
                                    </w:rPr>
                                  </w:pPr>
                                  <w:r w:rsidRPr="00DA0325">
                                    <w:rPr>
                                      <w:b/>
                                      <w:sz w:val="28"/>
                                      <w:szCs w:val="28"/>
                                    </w:rPr>
                                    <w:t>Acadia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6DDAF6" id="_x0000_t202" coordsize="21600,21600" o:spt="202" path="m,l,21600r21600,l21600,xe">
                      <v:stroke joinstyle="miter"/>
                      <v:path gradientshapeok="t" o:connecttype="rect"/>
                    </v:shapetype>
                    <v:shape id="Text Box 2" o:spid="_x0000_s1026" type="#_x0000_t202" style="position:absolute;left:0;text-align:left;margin-left:-27.3pt;margin-top:6pt;width:56.1pt;height:2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">
                      <v:textbox>
                        <w:txbxContent>
                          <w:p w14:paraId="260A30F3" w14:textId="44623285" w:rsidR="005B1E11" w:rsidRPr="00DA0325" w:rsidRDefault="005B1E11" w:rsidP="00DA0325">
                            <w:pPr>
                              <w:jc w:val="center"/>
                              <w:rPr>
                                <w:b/>
                                <w:sz w:val="28"/>
                                <w:szCs w:val="28"/>
                              </w:rPr>
                            </w:pPr>
                            <w:r w:rsidRPr="00DA0325">
                              <w:rPr>
                                <w:b/>
                                <w:sz w:val="28"/>
                                <w:szCs w:val="28"/>
                              </w:rPr>
                              <w:t>Acadia</w:t>
                            </w:r>
                          </w:p>
                        </w:txbxContent>
                      </v:textbox>
                    </v:shape>
                  </w:pict>
                </mc:Fallback>
              </mc:AlternateContent>
            </w:r>
            <w:r w:rsidR="00A009D7">
              <w:rPr>
                <w:noProof/>
              </w:rPr>
              <w:drawing>
                <wp:inline distT="0" distB="0" distL="0" distR="0" wp14:anchorId="6A89D24C" wp14:editId="7EC0ABB1">
                  <wp:extent cx="2889504" cy="7315200"/>
                  <wp:effectExtent l="0" t="0" r="63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5D0CA6" w14:paraId="0837FCB8" w14:textId="77777777" w:rsidTr="00E96AB0">
        <w:tblPrEx>
          <w:tblCellMar>
            <w:left w:w="108" w:type="dxa"/>
            <w:right w:w="108" w:type="dxa"/>
          </w:tblCellMar>
        </w:tblPrEx>
        <w:tc>
          <w:tcPr>
            <w:tcW w:w="4457" w:type="dxa"/>
          </w:tcPr>
          <w:p w14:paraId="750BAF04" w14:textId="61C1AFC2" w:rsidR="005D0CA6" w:rsidRPr="00A009D7" w:rsidRDefault="00A009D7" w:rsidP="00A009D7">
            <w:pPr>
              <w:jc w:val="center"/>
              <w:rPr>
                <w:b/>
              </w:rPr>
            </w:pPr>
            <w:r>
              <w:rPr>
                <w:noProof/>
              </w:rPr>
              <w:drawing>
                <wp:inline distT="0" distB="0" distL="0" distR="0" wp14:anchorId="7DDC46F1" wp14:editId="74793931">
                  <wp:extent cx="2889504" cy="7315200"/>
                  <wp:effectExtent l="0" t="0" r="63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903" w:type="dxa"/>
          </w:tcPr>
          <w:p w14:paraId="5C4618F3" w14:textId="6F98A521" w:rsidR="005D0CA6" w:rsidRPr="00A009D7" w:rsidRDefault="008B0B07" w:rsidP="00A009D7">
            <w:pPr>
              <w:jc w:val="center"/>
              <w:rPr>
                <w:b/>
              </w:rPr>
            </w:pPr>
            <w:r>
              <w:rPr>
                <w:noProof/>
              </w:rPr>
              <w:drawing>
                <wp:inline distT="0" distB="0" distL="0" distR="0" wp14:anchorId="4E03E7E9" wp14:editId="594FAFD7">
                  <wp:extent cx="3200400" cy="7354957"/>
                  <wp:effectExtent l="0" t="0" r="0" b="1778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DA0325" w:rsidRPr="00DA0325">
              <w:rPr>
                <w:rFonts w:eastAsia="Times New Roman" w:cs="Times New Roman"/>
                <w:noProof/>
                <w:color w:val="000000"/>
                <w:sz w:val="20"/>
                <w:szCs w:val="20"/>
              </w:rPr>
              <mc:AlternateContent>
                <mc:Choice Requires="wps">
                  <w:drawing>
                    <wp:anchor distT="45720" distB="45720" distL="114300" distR="114300" simplePos="0" relativeHeight="251661312" behindDoc="0" locked="0" layoutInCell="1" allowOverlap="1" wp14:anchorId="3FA6FC3F" wp14:editId="3BA596D2">
                      <wp:simplePos x="0" y="0"/>
                      <wp:positionH relativeFrom="column">
                        <wp:posOffset>-474980</wp:posOffset>
                      </wp:positionH>
                      <wp:positionV relativeFrom="paragraph">
                        <wp:posOffset>64770</wp:posOffset>
                      </wp:positionV>
                      <wp:extent cx="973777" cy="320040"/>
                      <wp:effectExtent l="0" t="0" r="17145" b="228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777" cy="320040"/>
                              </a:xfrm>
                              <a:prstGeom prst="rect">
                                <a:avLst/>
                              </a:prstGeom>
                              <a:solidFill>
                                <a:srgbClr val="FFFFFF"/>
                              </a:solidFill>
                              <a:ln w="9525">
                                <a:solidFill>
                                  <a:srgbClr val="000000"/>
                                </a:solidFill>
                                <a:miter lim="800000"/>
                                <a:headEnd/>
                                <a:tailEnd/>
                              </a:ln>
                            </wps:spPr>
                            <wps:txbx>
                              <w:txbxContent>
                                <w:p w14:paraId="462B05C1" w14:textId="06786E02" w:rsidR="005B1E11" w:rsidRPr="00DA0325" w:rsidRDefault="005B1E11" w:rsidP="00DA0325">
                                  <w:pPr>
                                    <w:jc w:val="center"/>
                                    <w:rPr>
                                      <w:b/>
                                      <w:sz w:val="28"/>
                                      <w:szCs w:val="28"/>
                                    </w:rPr>
                                  </w:pPr>
                                  <w:r>
                                    <w:rPr>
                                      <w:b/>
                                      <w:sz w:val="28"/>
                                      <w:szCs w:val="28"/>
                                    </w:rPr>
                                    <w:t>Brigantine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A6FC3F" id="_x0000_s1027" type="#_x0000_t202" style="position:absolute;left:0;text-align:left;margin-left:-37.4pt;margin-top:5.1pt;width:76.7pt;height:25.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">
                      <v:textbox>
                        <w:txbxContent>
                          <w:p w14:paraId="462B05C1" w14:textId="06786E02" w:rsidR="005B1E11" w:rsidRPr="00DA0325" w:rsidRDefault="005B1E11" w:rsidP="00DA0325">
                            <w:pPr>
                              <w:jc w:val="center"/>
                              <w:rPr>
                                <w:b/>
                                <w:sz w:val="28"/>
                                <w:szCs w:val="28"/>
                              </w:rPr>
                            </w:pPr>
                            <w:r>
                              <w:rPr>
                                <w:b/>
                                <w:sz w:val="28"/>
                                <w:szCs w:val="28"/>
                              </w:rPr>
                              <w:t>Brigantine</w:t>
                            </w:r>
                          </w:p>
                        </w:txbxContent>
                      </v:textbox>
                    </v:shape>
                  </w:pict>
                </mc:Fallback>
              </mc:AlternateContent>
            </w:r>
          </w:p>
        </w:tc>
      </w:tr>
      <w:tr w:rsidR="00A009D7" w14:paraId="325F0890" w14:textId="77777777" w:rsidTr="00E96AB0">
        <w:tblPrEx>
          <w:tblCellMar>
            <w:left w:w="108" w:type="dxa"/>
            <w:right w:w="108" w:type="dxa"/>
          </w:tblCellMar>
        </w:tblPrEx>
        <w:tc>
          <w:tcPr>
            <w:tcW w:w="4457" w:type="dxa"/>
          </w:tcPr>
          <w:p w14:paraId="743FF024" w14:textId="4A8318E1" w:rsidR="00A009D7" w:rsidRDefault="006F49F0" w:rsidP="00A009D7">
            <w:pPr>
              <w:jc w:val="center"/>
            </w:pPr>
            <w:r>
              <w:rPr>
                <w:noProof/>
              </w:rPr>
              <w:drawing>
                <wp:inline distT="0" distB="0" distL="0" distR="0" wp14:anchorId="225E4DDA" wp14:editId="3FA97872">
                  <wp:extent cx="2889504" cy="7315200"/>
                  <wp:effectExtent l="0" t="0" r="635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903" w:type="dxa"/>
          </w:tcPr>
          <w:p w14:paraId="53EC7C07" w14:textId="72B6329A" w:rsidR="00A009D7" w:rsidRDefault="00DA0325" w:rsidP="00A009D7">
            <w:pPr>
              <w:jc w:val="center"/>
            </w:pPr>
            <w:r>
              <w:rPr>
                <w:noProof/>
              </w:rPr>
              <mc:AlternateContent>
                <mc:Choice Requires="wps">
                  <w:drawing>
                    <wp:anchor distT="0" distB="0" distL="114300" distR="114300" simplePos="0" relativeHeight="251663360" behindDoc="0" locked="0" layoutInCell="1" allowOverlap="1" wp14:anchorId="0CFFD7A1" wp14:editId="268FBD66">
                      <wp:simplePos x="0" y="0"/>
                      <wp:positionH relativeFrom="column">
                        <wp:posOffset>-497205</wp:posOffset>
                      </wp:positionH>
                      <wp:positionV relativeFrom="paragraph">
                        <wp:posOffset>76200</wp:posOffset>
                      </wp:positionV>
                      <wp:extent cx="971550" cy="320040"/>
                      <wp:effectExtent l="0" t="0" r="19050" b="228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0040"/>
                              </a:xfrm>
                              <a:prstGeom prst="rect">
                                <a:avLst/>
                              </a:prstGeom>
                              <a:solidFill>
                                <a:srgbClr val="FFFFFF"/>
                              </a:solidFill>
                              <a:ln w="9525">
                                <a:solidFill>
                                  <a:srgbClr val="000000"/>
                                </a:solidFill>
                                <a:miter lim="800000"/>
                                <a:headEnd/>
                                <a:tailEnd/>
                              </a:ln>
                            </wps:spPr>
                            <wps:txbx>
                              <w:txbxContent>
                                <w:p w14:paraId="13F87DC9" w14:textId="3BF23527" w:rsidR="005B1E11" w:rsidRPr="00DA0325" w:rsidRDefault="005B1E11" w:rsidP="006D2C02">
                                  <w:pPr>
                                    <w:jc w:val="center"/>
                                    <w:rPr>
                                      <w:b/>
                                      <w:sz w:val="28"/>
                                      <w:szCs w:val="28"/>
                                    </w:rPr>
                                  </w:pPr>
                                  <w:r w:rsidRPr="00DA0325">
                                    <w:rPr>
                                      <w:b/>
                                      <w:sz w:val="28"/>
                                      <w:szCs w:val="28"/>
                                    </w:rPr>
                                    <w:t>Great Gulf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FFD7A1" id="Text Box 11" o:spid="_x0000_s1028" type="#_x0000_t202" style="position:absolute;left:0;text-align:left;margin-left:-39.15pt;margin-top:6pt;width:76.5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">
                      <v:textbox>
                        <w:txbxContent>
                          <w:p w14:paraId="13F87DC9" w14:textId="3BF23527" w:rsidR="005B1E11" w:rsidRPr="00DA0325" w:rsidRDefault="005B1E11" w:rsidP="006D2C02">
                            <w:pPr>
                              <w:jc w:val="center"/>
                              <w:rPr>
                                <w:b/>
                                <w:sz w:val="28"/>
                                <w:szCs w:val="28"/>
                              </w:rPr>
                            </w:pPr>
                            <w:r w:rsidRPr="00DA0325">
                              <w:rPr>
                                <w:b/>
                                <w:sz w:val="28"/>
                                <w:szCs w:val="28"/>
                              </w:rPr>
                              <w:t>Great Gulf</w:t>
                            </w:r>
                          </w:p>
                        </w:txbxContent>
                      </v:textbox>
                    </v:shape>
                  </w:pict>
                </mc:Fallback>
              </mc:AlternateContent>
            </w:r>
            <w:r w:rsidR="00E96AB0">
              <w:rPr>
                <w:noProof/>
              </w:rPr>
              <w:drawing>
                <wp:inline distT="0" distB="0" distL="0" distR="0" wp14:anchorId="52C03947" wp14:editId="461CD7E6">
                  <wp:extent cx="3200400" cy="7283395"/>
                  <wp:effectExtent l="0" t="0" r="0" b="13335"/>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A009D7" w14:paraId="4F617DF8" w14:textId="77777777" w:rsidTr="00E96AB0">
        <w:tblPrEx>
          <w:tblCellMar>
            <w:left w:w="108" w:type="dxa"/>
            <w:right w:w="108" w:type="dxa"/>
          </w:tblCellMar>
        </w:tblPrEx>
        <w:tc>
          <w:tcPr>
            <w:tcW w:w="4457" w:type="dxa"/>
          </w:tcPr>
          <w:p w14:paraId="4A96BAEE" w14:textId="2764961E" w:rsidR="00A009D7" w:rsidRDefault="006F49F0" w:rsidP="00A009D7">
            <w:pPr>
              <w:jc w:val="center"/>
            </w:pPr>
            <w:r>
              <w:rPr>
                <w:noProof/>
              </w:rPr>
              <w:drawing>
                <wp:inline distT="0" distB="0" distL="0" distR="0" wp14:anchorId="58DFBB16" wp14:editId="6DBE0021">
                  <wp:extent cx="2889504" cy="7315200"/>
                  <wp:effectExtent l="0" t="0" r="635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903" w:type="dxa"/>
          </w:tcPr>
          <w:p w14:paraId="138E2656" w14:textId="3B254E97" w:rsidR="00A009D7" w:rsidRDefault="00DA0325" w:rsidP="00A009D7">
            <w:pPr>
              <w:jc w:val="center"/>
            </w:pPr>
            <w:r>
              <w:rPr>
                <w:noProof/>
              </w:rPr>
              <mc:AlternateContent>
                <mc:Choice Requires="wps">
                  <w:drawing>
                    <wp:anchor distT="0" distB="0" distL="114300" distR="114300" simplePos="0" relativeHeight="251665408" behindDoc="0" locked="0" layoutInCell="1" allowOverlap="1" wp14:anchorId="20FB2A09" wp14:editId="532873DF">
                      <wp:simplePos x="0" y="0"/>
                      <wp:positionH relativeFrom="column">
                        <wp:posOffset>-468630</wp:posOffset>
                      </wp:positionH>
                      <wp:positionV relativeFrom="paragraph">
                        <wp:posOffset>66675</wp:posOffset>
                      </wp:positionV>
                      <wp:extent cx="923925" cy="320040"/>
                      <wp:effectExtent l="0" t="0" r="28575" b="2286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20040"/>
                              </a:xfrm>
                              <a:prstGeom prst="rect">
                                <a:avLst/>
                              </a:prstGeom>
                              <a:solidFill>
                                <a:srgbClr val="FFFFFF"/>
                              </a:solidFill>
                              <a:ln w="9525">
                                <a:solidFill>
                                  <a:srgbClr val="000000"/>
                                </a:solidFill>
                                <a:miter lim="800000"/>
                                <a:headEnd/>
                                <a:tailEnd/>
                              </a:ln>
                            </wps:spPr>
                            <wps:txbx>
                              <w:txbxContent>
                                <w:p w14:paraId="58E94687" w14:textId="5FB5DBB5" w:rsidR="005B1E11" w:rsidRPr="00DA0325" w:rsidRDefault="005B1E11" w:rsidP="006D2C02">
                                  <w:pPr>
                                    <w:jc w:val="center"/>
                                    <w:rPr>
                                      <w:b/>
                                      <w:sz w:val="28"/>
                                      <w:szCs w:val="28"/>
                                    </w:rPr>
                                  </w:pPr>
                                  <w:r>
                                    <w:rPr>
                                      <w:b/>
                                      <w:sz w:val="28"/>
                                      <w:szCs w:val="28"/>
                                    </w:rPr>
                                    <w:t>Lye Brook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FB2A09" id="Text Box 22" o:spid="_x0000_s1029" type="#_x0000_t202" style="position:absolute;left:0;text-align:left;margin-left:-36.9pt;margin-top:5.25pt;width:72.7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">
                      <v:textbox>
                        <w:txbxContent>
                          <w:p w14:paraId="58E94687" w14:textId="5FB5DBB5" w:rsidR="005B1E11" w:rsidRPr="00DA0325" w:rsidRDefault="005B1E11" w:rsidP="006D2C02">
                            <w:pPr>
                              <w:jc w:val="center"/>
                              <w:rPr>
                                <w:b/>
                                <w:sz w:val="28"/>
                                <w:szCs w:val="28"/>
                              </w:rPr>
                            </w:pPr>
                            <w:r>
                              <w:rPr>
                                <w:b/>
                                <w:sz w:val="28"/>
                                <w:szCs w:val="28"/>
                              </w:rPr>
                              <w:t>Lye Brook</w:t>
                            </w:r>
                          </w:p>
                        </w:txbxContent>
                      </v:textbox>
                    </v:shape>
                  </w:pict>
                </mc:Fallback>
              </mc:AlternateContent>
            </w:r>
            <w:r w:rsidR="00E96AB0">
              <w:rPr>
                <w:noProof/>
              </w:rPr>
              <w:drawing>
                <wp:inline distT="0" distB="0" distL="0" distR="0" wp14:anchorId="2144D066" wp14:editId="4A72BFEE">
                  <wp:extent cx="3200400" cy="7307249"/>
                  <wp:effectExtent l="0" t="0" r="0" b="8255"/>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A009D7" w14:paraId="7E2BC2BC" w14:textId="77777777" w:rsidTr="00670CCA">
        <w:tblPrEx>
          <w:tblCellMar>
            <w:left w:w="108" w:type="dxa"/>
            <w:right w:w="108" w:type="dxa"/>
          </w:tblCellMar>
        </w:tblPrEx>
        <w:tc>
          <w:tcPr>
            <w:tcW w:w="4457" w:type="dxa"/>
          </w:tcPr>
          <w:p w14:paraId="6C99FCFD" w14:textId="1C68857E" w:rsidR="00A009D7" w:rsidRDefault="006F49F0" w:rsidP="00DA0325">
            <w:pPr>
              <w:jc w:val="center"/>
              <w:rPr>
                <w:b/>
              </w:rPr>
            </w:pPr>
            <w:r>
              <w:rPr>
                <w:noProof/>
              </w:rPr>
              <w:drawing>
                <wp:inline distT="0" distB="0" distL="0" distR="0" wp14:anchorId="70D5EFD6" wp14:editId="00C2AEEB">
                  <wp:extent cx="2889504" cy="7315200"/>
                  <wp:effectExtent l="0" t="0" r="6350" b="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903" w:type="dxa"/>
          </w:tcPr>
          <w:p w14:paraId="6A8B543E" w14:textId="7CB0523D" w:rsidR="00A009D7" w:rsidRPr="00A009D7" w:rsidRDefault="00DA0325" w:rsidP="00A009D7">
            <w:pPr>
              <w:jc w:val="center"/>
              <w:rPr>
                <w:b/>
              </w:rPr>
            </w:pPr>
            <w:r>
              <w:rPr>
                <w:noProof/>
              </w:rPr>
              <mc:AlternateContent>
                <mc:Choice Requires="wps">
                  <w:drawing>
                    <wp:anchor distT="0" distB="0" distL="114300" distR="114300" simplePos="0" relativeHeight="251667456" behindDoc="0" locked="0" layoutInCell="1" allowOverlap="1" wp14:anchorId="349DF78E" wp14:editId="3BFDCEDE">
                      <wp:simplePos x="0" y="0"/>
                      <wp:positionH relativeFrom="column">
                        <wp:posOffset>-573405</wp:posOffset>
                      </wp:positionH>
                      <wp:positionV relativeFrom="paragraph">
                        <wp:posOffset>85725</wp:posOffset>
                      </wp:positionV>
                      <wp:extent cx="1085850" cy="320040"/>
                      <wp:effectExtent l="0" t="0" r="19050" b="228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0040"/>
                              </a:xfrm>
                              <a:prstGeom prst="rect">
                                <a:avLst/>
                              </a:prstGeom>
                              <a:solidFill>
                                <a:srgbClr val="FFFFFF"/>
                              </a:solidFill>
                              <a:ln w="9525">
                                <a:solidFill>
                                  <a:srgbClr val="000000"/>
                                </a:solidFill>
                                <a:miter lim="800000"/>
                                <a:headEnd/>
                                <a:tailEnd/>
                              </a:ln>
                            </wps:spPr>
                            <wps:txbx>
                              <w:txbxContent>
                                <w:p w14:paraId="680C1D78" w14:textId="7DECB203" w:rsidR="005B1E11" w:rsidRPr="00DA0325" w:rsidRDefault="005B1E11" w:rsidP="006D2C02">
                                  <w:pPr>
                                    <w:jc w:val="center"/>
                                    <w:rPr>
                                      <w:b/>
                                      <w:sz w:val="28"/>
                                      <w:szCs w:val="28"/>
                                    </w:rPr>
                                  </w:pPr>
                                  <w:r>
                                    <w:rPr>
                                      <w:b/>
                                      <w:sz w:val="28"/>
                                      <w:szCs w:val="28"/>
                                    </w:rPr>
                                    <w:t>Moosehorn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9DF78E" id="Text Box 25" o:spid="_x0000_s1030" type="#_x0000_t202" style="position:absolute;left:0;text-align:left;margin-left:-45.15pt;margin-top:6.75pt;width:85.5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">
                      <v:textbox>
                        <w:txbxContent>
                          <w:p w14:paraId="680C1D78" w14:textId="7DECB203" w:rsidR="005B1E11" w:rsidRPr="00DA0325" w:rsidRDefault="005B1E11" w:rsidP="006D2C02">
                            <w:pPr>
                              <w:jc w:val="center"/>
                              <w:rPr>
                                <w:b/>
                                <w:sz w:val="28"/>
                                <w:szCs w:val="28"/>
                              </w:rPr>
                            </w:pPr>
                            <w:r>
                              <w:rPr>
                                <w:b/>
                                <w:sz w:val="28"/>
                                <w:szCs w:val="28"/>
                              </w:rPr>
                              <w:t>Moosehorn</w:t>
                            </w:r>
                          </w:p>
                        </w:txbxContent>
                      </v:textbox>
                    </v:shape>
                  </w:pict>
                </mc:Fallback>
              </mc:AlternateContent>
            </w:r>
            <w:r w:rsidR="00670CCA">
              <w:rPr>
                <w:noProof/>
              </w:rPr>
              <w:drawing>
                <wp:inline distT="0" distB="0" distL="0" distR="0" wp14:anchorId="134FEE5E" wp14:editId="769BA8E4">
                  <wp:extent cx="3200400" cy="7331103"/>
                  <wp:effectExtent l="0" t="0" r="0" b="3175"/>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244255CE" w14:textId="679B7CFF" w:rsidR="00AE1D17" w:rsidRDefault="00AE1D17" w:rsidP="008669E1"/>
    <w:p w14:paraId="66EFD43F" w14:textId="74E0E17D" w:rsidR="00FA5E24" w:rsidRDefault="00506CC9" w:rsidP="004B0CFC">
      <w:r>
        <w:t xml:space="preserve"> </w:t>
      </w:r>
    </w:p>
    <w:p w14:paraId="28DFFE3D" w14:textId="505BF96B" w:rsidR="00330CF4" w:rsidRDefault="00330CF4" w:rsidP="00330CF4">
      <w:bookmarkStart w:id="30" w:name="_Ref447095991"/>
      <w:r>
        <w:t xml:space="preserve">Electric Generating Units (EGUs) that report emissions to the Clean Air Markets Division (CAMD) as a whole still account for the majority of the sulfate contributions to all of the Class I Areas examined (approximately 70% in all cases).  Other point sources and non-reporting EGUs (small EGUs) produce the bulk of the remaining contribution. Emissions from oil and gas, refueling, and ethanol point sources have negligible impacts on the monitored Class I areas.  Details as to the magnitude and relative importance of 2018 projected emissions from each point source sector can be observed in </w:t>
      </w:r>
      <w:r>
        <w:fldChar w:fldCharType="begin"/>
      </w:r>
      <w:r>
        <w:instrText xml:space="preserve"> REF _Ref447095991 \h </w:instrText>
      </w:r>
      <w:r>
        <w:fldChar w:fldCharType="separate"/>
      </w:r>
      <w:r>
        <w:t xml:space="preserve">Figure </w:t>
      </w:r>
      <w:r>
        <w:rPr>
          <w:noProof/>
        </w:rPr>
        <w:t>7</w:t>
      </w:r>
      <w:r>
        <w:fldChar w:fldCharType="end"/>
      </w:r>
      <w:r>
        <w:t xml:space="preserve"> and </w:t>
      </w:r>
      <w:r>
        <w:fldChar w:fldCharType="begin"/>
      </w:r>
      <w:r>
        <w:instrText xml:space="preserve"> REF _Ref447095992 \h </w:instrText>
      </w:r>
      <w:r>
        <w:fldChar w:fldCharType="separate"/>
      </w:r>
      <w:r>
        <w:t xml:space="preserve">Figure </w:t>
      </w:r>
      <w:r>
        <w:rPr>
          <w:noProof/>
        </w:rPr>
        <w:t>8</w:t>
      </w:r>
      <w:r>
        <w:fldChar w:fldCharType="end"/>
      </w:r>
      <w:r>
        <w:t xml:space="preserve">, respectively.  </w:t>
      </w:r>
      <w:r>
        <w:fldChar w:fldCharType="begin"/>
      </w:r>
      <w:r>
        <w:instrText xml:space="preserve"> REF _Ref447096102 \h </w:instrText>
      </w:r>
      <w:r>
        <w:fldChar w:fldCharType="separate"/>
      </w:r>
      <w:r w:rsidR="005D4F4D">
        <w:t xml:space="preserve">Figure </w:t>
      </w:r>
      <w:r w:rsidR="005D4F4D">
        <w:rPr>
          <w:noProof/>
        </w:rPr>
        <w:t>9</w:t>
      </w:r>
      <w:r>
        <w:fldChar w:fldCharType="end"/>
      </w:r>
      <w:r>
        <w:t xml:space="preserve"> emphasizes the outsized role of coal EGUs on impact, since nine of the top ten</w:t>
      </w:r>
      <w:r w:rsidR="00220E04">
        <w:t xml:space="preserve"> EGU</w:t>
      </w:r>
      <w:r>
        <w:t xml:space="preserve"> SCCs in terms of projected 2018 impact are from coal powered EGUs (the other SCC in the top ten is associated with oil powered EGUs).</w:t>
      </w:r>
    </w:p>
    <w:p w14:paraId="1C9F5DD9" w14:textId="77777777" w:rsidR="00330CF4" w:rsidRDefault="00330CF4" w:rsidP="00370452">
      <w:pPr>
        <w:pStyle w:val="Caption"/>
        <w:keepNext/>
      </w:pPr>
    </w:p>
    <w:p w14:paraId="4633B958" w14:textId="742949B2" w:rsidR="00370452" w:rsidRDefault="00370452" w:rsidP="00370452">
      <w:pPr>
        <w:pStyle w:val="Caption"/>
        <w:keepNext/>
      </w:pPr>
      <w:bookmarkStart w:id="31" w:name="_Toc447733830"/>
      <w:r>
        <w:t xml:space="preserve">Figure </w:t>
      </w:r>
      <w:r w:rsidR="002B14BC">
        <w:fldChar w:fldCharType="begin"/>
      </w:r>
      <w:r w:rsidR="002B14BC">
        <w:instrText xml:space="preserve"> SEQ Figure \* ARABIC </w:instrText>
      </w:r>
      <w:r w:rsidR="002B14BC">
        <w:fldChar w:fldCharType="separate"/>
      </w:r>
      <w:r w:rsidR="004C7E13">
        <w:rPr>
          <w:noProof/>
        </w:rPr>
        <w:t>7</w:t>
      </w:r>
      <w:r w:rsidR="002B14BC">
        <w:rPr>
          <w:noProof/>
        </w:rPr>
        <w:fldChar w:fldCharType="end"/>
      </w:r>
      <w:bookmarkEnd w:id="30"/>
      <w:r>
        <w:t>: Impact on Class 1 Areas by Point Sectors</w:t>
      </w:r>
      <w:bookmarkEnd w:id="31"/>
    </w:p>
    <w:p w14:paraId="7BE78F6E" w14:textId="06B720C3" w:rsidR="00B95B1C" w:rsidRDefault="00330CF4" w:rsidP="008669E1">
      <w:r>
        <w:rPr>
          <w:noProof/>
        </w:rPr>
        <w:drawing>
          <wp:inline distT="0" distB="0" distL="0" distR="0" wp14:anchorId="3A708FFD" wp14:editId="178BEDB8">
            <wp:extent cx="5676900" cy="5053014"/>
            <wp:effectExtent l="0" t="0" r="0" b="146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95B1C" w:rsidRPr="00B95B1C">
        <w:rPr>
          <w:noProof/>
        </w:rPr>
        <w:t xml:space="preserve"> </w:t>
      </w:r>
    </w:p>
    <w:p w14:paraId="7D766FAF" w14:textId="7792269D" w:rsidR="00B95B1C" w:rsidRDefault="00B95B1C" w:rsidP="00B95B1C">
      <w:pPr>
        <w:pStyle w:val="Caption"/>
        <w:keepNext/>
      </w:pPr>
      <w:bookmarkStart w:id="32" w:name="_Ref447095992"/>
      <w:bookmarkStart w:id="33" w:name="_Toc447733831"/>
      <w:r>
        <w:t xml:space="preserve">Figure </w:t>
      </w:r>
      <w:r w:rsidR="002B14BC">
        <w:fldChar w:fldCharType="begin"/>
      </w:r>
      <w:r w:rsidR="002B14BC">
        <w:instrText xml:space="preserve"> SEQ Figure \* ARABIC </w:instrText>
      </w:r>
      <w:r w:rsidR="002B14BC">
        <w:fldChar w:fldCharType="separate"/>
      </w:r>
      <w:r w:rsidR="004C7E13">
        <w:rPr>
          <w:noProof/>
        </w:rPr>
        <w:t>8</w:t>
      </w:r>
      <w:r w:rsidR="002B14BC">
        <w:rPr>
          <w:noProof/>
        </w:rPr>
        <w:fldChar w:fldCharType="end"/>
      </w:r>
      <w:bookmarkEnd w:id="32"/>
      <w:r>
        <w:t xml:space="preserve">: Relative </w:t>
      </w:r>
      <w:r w:rsidRPr="00775415">
        <w:t>Impact on Class 1 Areas by Point Sectors</w:t>
      </w:r>
      <w:bookmarkEnd w:id="33"/>
    </w:p>
    <w:p w14:paraId="0F4543E8" w14:textId="51AD2EC1" w:rsidR="00075813" w:rsidRDefault="00B95B1C" w:rsidP="008669E1">
      <w:r>
        <w:rPr>
          <w:noProof/>
        </w:rPr>
        <w:drawing>
          <wp:inline distT="0" distB="0" distL="0" distR="0" wp14:anchorId="78D79A50" wp14:editId="762D071E">
            <wp:extent cx="6400800" cy="76390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725B9A" w14:textId="7070BA16" w:rsidR="004B0CFC" w:rsidRDefault="004B0CFC" w:rsidP="004B0CFC"/>
    <w:p w14:paraId="6F627668" w14:textId="28342D22" w:rsidR="00075813" w:rsidRDefault="00075813" w:rsidP="00075813">
      <w:pPr>
        <w:pStyle w:val="Caption"/>
        <w:keepNext/>
      </w:pPr>
      <w:bookmarkStart w:id="34" w:name="_Ref447096102"/>
      <w:bookmarkStart w:id="35" w:name="_Toc447733832"/>
      <w:r>
        <w:t xml:space="preserve">Figure </w:t>
      </w:r>
      <w:r w:rsidR="002B14BC">
        <w:fldChar w:fldCharType="begin"/>
      </w:r>
      <w:r w:rsidR="002B14BC">
        <w:instrText xml:space="preserve"> SEQ Figure \* ARABIC </w:instrText>
      </w:r>
      <w:r w:rsidR="002B14BC">
        <w:fldChar w:fldCharType="separate"/>
      </w:r>
      <w:r w:rsidR="004C7E13">
        <w:rPr>
          <w:noProof/>
        </w:rPr>
        <w:t>9</w:t>
      </w:r>
      <w:r w:rsidR="002B14BC">
        <w:rPr>
          <w:noProof/>
        </w:rPr>
        <w:fldChar w:fldCharType="end"/>
      </w:r>
      <w:bookmarkEnd w:id="34"/>
      <w:r>
        <w:t xml:space="preserve">: Relative Impact of </w:t>
      </w:r>
      <w:r w:rsidR="00220E04">
        <w:t xml:space="preserve">EGU </w:t>
      </w:r>
      <w:r>
        <w:t>Point Source SCCs on Acadia, Brigantine, Great Gulf, Lye Brook, and Moosehorn (inner to outer)</w:t>
      </w:r>
      <w:bookmarkEnd w:id="35"/>
    </w:p>
    <w:p w14:paraId="3CBDA226" w14:textId="3A8B1797" w:rsidR="004C1097" w:rsidRDefault="004C1097" w:rsidP="008669E1">
      <w:r>
        <w:rPr>
          <w:noProof/>
        </w:rPr>
        <w:drawing>
          <wp:inline distT="0" distB="0" distL="0" distR="0" wp14:anchorId="0514D207" wp14:editId="59B39B78">
            <wp:extent cx="6400800" cy="7772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C7D947" w14:textId="24D1282B" w:rsidR="00562A1C" w:rsidRDefault="00811580" w:rsidP="00811580">
      <w:pPr>
        <w:pStyle w:val="Heading2"/>
      </w:pPr>
      <w:bookmarkStart w:id="36" w:name="_Toc447733823"/>
      <w:r>
        <w:t>Conclusions</w:t>
      </w:r>
      <w:bookmarkEnd w:id="36"/>
    </w:p>
    <w:p w14:paraId="74422C10" w14:textId="4E786637" w:rsidR="00811580" w:rsidRDefault="00811580" w:rsidP="00811580">
      <w:r>
        <w:t xml:space="preserve">The 2015 analyses; 2011 state total emissions, 2011 point </w:t>
      </w:r>
      <w:r w:rsidR="006F2482">
        <w:t>emissions</w:t>
      </w:r>
      <w:r>
        <w:t xml:space="preserve"> and the 2018 </w:t>
      </w:r>
      <w:r w:rsidR="006F2482">
        <w:t>point emissions</w:t>
      </w:r>
      <w:r>
        <w:t>, each provide a unique insight to the contribution of each state and source sector</w:t>
      </w:r>
      <w:r w:rsidR="00A14AFF">
        <w:t xml:space="preserve"> the MANE-VU and neighboring class I areas</w:t>
      </w:r>
      <w:r>
        <w:t xml:space="preserve">. This report is the summary and is a starting point for the states in the region to assess their contributions to each neighboring class I area and for the class I areas state to further address the appropriate next steps in tandem with the other analyses available. </w:t>
      </w:r>
    </w:p>
    <w:p w14:paraId="7A0C06D3" w14:textId="00FDFCF4" w:rsidR="004C7E13" w:rsidRDefault="006F2482" w:rsidP="00F02836">
      <w:pPr>
        <w:sectPr w:rsidR="004C7E13" w:rsidSect="004D7FF5">
          <w:pgSz w:w="12240" w:h="15840"/>
          <w:pgMar w:top="1440" w:right="1440" w:bottom="1440" w:left="1440" w:header="720" w:footer="720" w:gutter="0"/>
          <w:cols w:space="720"/>
          <w:docGrid w:linePitch="360"/>
        </w:sectPr>
      </w:pPr>
      <w:r>
        <w:t>The summary of the results presented above illuminated two approaches a geographic approach and source sector approach. Geographically, al</w:t>
      </w:r>
      <w:r w:rsidR="00811580">
        <w:t xml:space="preserve">l three of the </w:t>
      </w:r>
      <w:r w:rsidR="006B50E4">
        <w:t xml:space="preserve">2015 </w:t>
      </w:r>
      <w:r w:rsidR="00811580">
        <w:t xml:space="preserve">analyses resulted </w:t>
      </w:r>
      <w:r w:rsidR="00F02836">
        <w:t>in two top contributors, Ohio and Pennsylvania. The remaining</w:t>
      </w:r>
      <w:r w:rsidR="00FE382A">
        <w:t xml:space="preserve"> state</w:t>
      </w:r>
      <w:r w:rsidR="00F02836">
        <w:t xml:space="preserve"> rankings</w:t>
      </w:r>
      <w:r w:rsidR="00A14AFF">
        <w:t xml:space="preserve"> varied by class I a</w:t>
      </w:r>
      <w:r w:rsidR="00F02836">
        <w:t>rea</w:t>
      </w:r>
      <w:r w:rsidR="00C8439A">
        <w:t xml:space="preserve"> and by analysis </w:t>
      </w:r>
      <w:r w:rsidR="00FE382A">
        <w:t>type (total emissions vs. point only emissions)</w:t>
      </w:r>
      <w:r w:rsidR="00F02836">
        <w:t xml:space="preserve">.  </w:t>
      </w:r>
      <w:r w:rsidR="00A14AFF">
        <w:t xml:space="preserve">The source sector approach, determined that </w:t>
      </w:r>
      <w:r w:rsidR="00F02836">
        <w:t xml:space="preserve">EGUS </w:t>
      </w:r>
      <w:r w:rsidR="00AF51F7">
        <w:t xml:space="preserve">(more specifically coal EGUs) </w:t>
      </w:r>
      <w:r w:rsidR="00F02836">
        <w:t>still dominated the contributions. While emissions have and are projected to decrease in 2018</w:t>
      </w:r>
      <w:r w:rsidR="00A14AFF">
        <w:t>, see</w:t>
      </w:r>
      <w:r w:rsidR="004C7E13">
        <w:t xml:space="preserve"> </w:t>
      </w:r>
      <w:r w:rsidR="004C7E13">
        <w:fldChar w:fldCharType="begin"/>
      </w:r>
      <w:r w:rsidR="004C7E13">
        <w:instrText xml:space="preserve"> REF _Ref447726776 \h </w:instrText>
      </w:r>
      <w:r w:rsidR="004C7E13">
        <w:fldChar w:fldCharType="separate"/>
      </w:r>
      <w:r w:rsidR="004C7E13">
        <w:t xml:space="preserve">Figure </w:t>
      </w:r>
      <w:r w:rsidR="004C7E13">
        <w:rPr>
          <w:noProof/>
        </w:rPr>
        <w:t>10</w:t>
      </w:r>
      <w:r w:rsidR="004C7E13">
        <w:fldChar w:fldCharType="end"/>
      </w:r>
      <w:r w:rsidR="00A14AFF">
        <w:t xml:space="preserve"> </w:t>
      </w:r>
      <w:r w:rsidR="00F02836">
        <w:t xml:space="preserve">, further work is needed to accomplish to visibility goals for 2064 and the resulting near term goals for the next ten-year planning cycle. </w:t>
      </w:r>
    </w:p>
    <w:p w14:paraId="16B3686E" w14:textId="7B0CE349" w:rsidR="00F02836" w:rsidRDefault="004C7E13" w:rsidP="004C7E13">
      <w:pPr>
        <w:ind w:left="-720"/>
      </w:pPr>
      <w:r>
        <w:rPr>
          <w:noProof/>
        </w:rPr>
        <mc:AlternateContent>
          <mc:Choice Requires="wps">
            <w:drawing>
              <wp:anchor distT="0" distB="0" distL="114300" distR="114300" simplePos="0" relativeHeight="251670528" behindDoc="0" locked="0" layoutInCell="1" allowOverlap="1" wp14:anchorId="3878627A" wp14:editId="0F449B2B">
                <wp:simplePos x="0" y="0"/>
                <wp:positionH relativeFrom="column">
                  <wp:posOffset>35781</wp:posOffset>
                </wp:positionH>
                <wp:positionV relativeFrom="paragraph">
                  <wp:posOffset>-190693</wp:posOffset>
                </wp:positionV>
                <wp:extent cx="7521575" cy="174928"/>
                <wp:effectExtent l="0" t="0" r="3175" b="0"/>
                <wp:wrapNone/>
                <wp:docPr id="206" name="Text Box 206"/>
                <wp:cNvGraphicFramePr/>
                <a:graphic xmlns:a="http://schemas.openxmlformats.org/drawingml/2006/main">
                  <a:graphicData uri="http://schemas.microsoft.com/office/word/2010/wordprocessingShape">
                    <wps:wsp>
                      <wps:cNvSpPr txBox="1"/>
                      <wps:spPr>
                        <a:xfrm>
                          <a:off x="0" y="0"/>
                          <a:ext cx="7521575" cy="174928"/>
                        </a:xfrm>
                        <a:prstGeom prst="rect">
                          <a:avLst/>
                        </a:prstGeom>
                        <a:solidFill>
                          <a:prstClr val="white"/>
                        </a:solidFill>
                        <a:ln>
                          <a:noFill/>
                        </a:ln>
                        <a:effectLst/>
                      </wps:spPr>
                      <wps:txbx>
                        <w:txbxContent>
                          <w:p w14:paraId="4D1C885C" w14:textId="4D91C9A6" w:rsidR="005B1E11" w:rsidRPr="00B00ED5" w:rsidRDefault="005B1E11" w:rsidP="004C7E13">
                            <w:pPr>
                              <w:pStyle w:val="Caption"/>
                              <w:rPr>
                                <w:noProof/>
                              </w:rPr>
                            </w:pPr>
                            <w:bookmarkStart w:id="37" w:name="_Ref447726776"/>
                            <w:bookmarkStart w:id="38" w:name="_Toc447733833"/>
                            <w:r>
                              <w:t xml:space="preserve">Figure </w:t>
                            </w:r>
                            <w:r w:rsidR="002B14BC">
                              <w:fldChar w:fldCharType="begin"/>
                            </w:r>
                            <w:r w:rsidR="002B14BC">
                              <w:instrText xml:space="preserve"> SEQ Figure \* ARABIC </w:instrText>
                            </w:r>
                            <w:r w:rsidR="002B14BC">
                              <w:fldChar w:fldCharType="separate"/>
                            </w:r>
                            <w:r>
                              <w:rPr>
                                <w:noProof/>
                              </w:rPr>
                              <w:t>10</w:t>
                            </w:r>
                            <w:r w:rsidR="002B14BC">
                              <w:rPr>
                                <w:noProof/>
                              </w:rPr>
                              <w:fldChar w:fldCharType="end"/>
                            </w:r>
                            <w:bookmarkEnd w:id="37"/>
                            <w:r>
                              <w:t>. 2011 and 2018 Point Emissions</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8627A" id="Text Box 206" o:spid="_x0000_s1031" type="#_x0000_t202" style="position:absolute;left:0;text-align:left;margin-left:2.8pt;margin-top:-15pt;width:592.25pt;height:1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" stroked="f">
                <v:textbox inset="0,0,0,0">
                  <w:txbxContent>
                    <w:p w14:paraId="4D1C885C" w14:textId="4D91C9A6" w:rsidR="005B1E11" w:rsidRPr="00B00ED5" w:rsidRDefault="005B1E11" w:rsidP="004C7E13">
                      <w:pPr>
                        <w:pStyle w:val="Caption"/>
                        <w:rPr>
                          <w:noProof/>
                        </w:rPr>
                      </w:pPr>
                      <w:bookmarkStart w:id="40" w:name="_Ref447726776"/>
                      <w:bookmarkStart w:id="41" w:name="_Toc447733833"/>
                      <w:r>
                        <w:t xml:space="preserve">Figure </w:t>
                      </w:r>
                      <w:fldSimple w:instr=" SEQ Figure \* ARABIC ">
                        <w:r>
                          <w:rPr>
                            <w:noProof/>
                          </w:rPr>
                          <w:t>10</w:t>
                        </w:r>
                      </w:fldSimple>
                      <w:bookmarkEnd w:id="40"/>
                      <w:r>
                        <w:t>. 2011 and 2018 Point Emissions</w:t>
                      </w:r>
                      <w:bookmarkEnd w:id="41"/>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44B2258" wp14:editId="6D8B27D5">
                <wp:simplePos x="0" y="0"/>
                <wp:positionH relativeFrom="column">
                  <wp:posOffset>35781</wp:posOffset>
                </wp:positionH>
                <wp:positionV relativeFrom="paragraph">
                  <wp:posOffset>270482</wp:posOffset>
                </wp:positionV>
                <wp:extent cx="7521934" cy="3132814"/>
                <wp:effectExtent l="0" t="0" r="22225" b="10795"/>
                <wp:wrapNone/>
                <wp:docPr id="205" name="Rectangle 205"/>
                <wp:cNvGraphicFramePr/>
                <a:graphic xmlns:a="http://schemas.openxmlformats.org/drawingml/2006/main">
                  <a:graphicData uri="http://schemas.microsoft.com/office/word/2010/wordprocessingShape">
                    <wps:wsp>
                      <wps:cNvSpPr/>
                      <wps:spPr>
                        <a:xfrm>
                          <a:off x="0" y="0"/>
                          <a:ext cx="7521934" cy="31328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157D69" id="Rectangle 205" o:spid="_x0000_s1026" style="position:absolute;margin-left:2.8pt;margin-top:21.3pt;width:592.3pt;height:246.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" filled="f" strokecolor="#1f4d78 [1604]" strokeweight="1pt"/>
            </w:pict>
          </mc:Fallback>
        </mc:AlternateContent>
      </w:r>
    </w:p>
    <w:p w14:paraId="1AA9BA04" w14:textId="19C6E675" w:rsidR="004C7E13" w:rsidRDefault="004D2393" w:rsidP="00811580">
      <w:pPr>
        <w:rPr>
          <w:noProof/>
        </w:rPr>
      </w:pPr>
      <w:r>
        <w:rPr>
          <w:noProof/>
        </w:rPr>
        <w:drawing>
          <wp:inline distT="0" distB="0" distL="0" distR="0" wp14:anchorId="01DC252E" wp14:editId="53802CF3">
            <wp:extent cx="4085511" cy="3156668"/>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011 point Emission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86096" cy="3157120"/>
                    </a:xfrm>
                    <a:prstGeom prst="rect">
                      <a:avLst/>
                    </a:prstGeom>
                    <a:noFill/>
                    <a:ln>
                      <a:noFill/>
                    </a:ln>
                  </pic:spPr>
                </pic:pic>
              </a:graphicData>
            </a:graphic>
          </wp:inline>
        </w:drawing>
      </w:r>
      <w:r w:rsidR="004C7E13">
        <w:rPr>
          <w:noProof/>
        </w:rPr>
        <w:drawing>
          <wp:inline distT="0" distB="0" distL="0" distR="0" wp14:anchorId="7E83DEBB" wp14:editId="3C6A33AE">
            <wp:extent cx="3164619" cy="3123794"/>
            <wp:effectExtent l="0" t="0" r="0"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018 point emissions.png"/>
                    <pic:cNvPicPr/>
                  </pic:nvPicPr>
                  <pic:blipFill rotWithShape="1">
                    <a:blip r:embed="rId31" cstate="print">
                      <a:extLst>
                        <a:ext uri="{28A0092B-C50C-407E-A947-70E740481C1C}">
                          <a14:useLocalDpi xmlns:a14="http://schemas.microsoft.com/office/drawing/2010/main" val="0"/>
                        </a:ext>
                      </a:extLst>
                    </a:blip>
                    <a:srcRect l="1" t="346" r="21996" b="-1"/>
                    <a:stretch/>
                  </pic:blipFill>
                  <pic:spPr bwMode="auto">
                    <a:xfrm>
                      <a:off x="0" y="0"/>
                      <a:ext cx="3168060" cy="3127191"/>
                    </a:xfrm>
                    <a:prstGeom prst="rect">
                      <a:avLst/>
                    </a:prstGeom>
                    <a:ln>
                      <a:noFill/>
                    </a:ln>
                    <a:extLst>
                      <a:ext uri="{53640926-AAD7-44D8-BBD7-CCE9431645EC}">
                        <a14:shadowObscured xmlns:a14="http://schemas.microsoft.com/office/drawing/2010/main"/>
                      </a:ext>
                    </a:extLst>
                  </pic:spPr>
                </pic:pic>
              </a:graphicData>
            </a:graphic>
          </wp:inline>
        </w:drawing>
      </w:r>
    </w:p>
    <w:p w14:paraId="6B8D3FB0" w14:textId="59201B34" w:rsidR="00811580" w:rsidRPr="00811580" w:rsidRDefault="00811580" w:rsidP="00811580"/>
    <w:sectPr w:rsidR="00811580" w:rsidRPr="00811580" w:rsidSect="004C7E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64078" w14:textId="77777777" w:rsidR="000912D6" w:rsidRDefault="000912D6" w:rsidP="00F25D5B">
      <w:pPr>
        <w:spacing w:after="0" w:line="240" w:lineRule="auto"/>
      </w:pPr>
      <w:r>
        <w:separator/>
      </w:r>
    </w:p>
  </w:endnote>
  <w:endnote w:type="continuationSeparator" w:id="0">
    <w:p w14:paraId="1215CFA0" w14:textId="77777777" w:rsidR="000912D6" w:rsidRDefault="000912D6" w:rsidP="00F25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2000720"/>
      <w:docPartObj>
        <w:docPartGallery w:val="Page Numbers (Bottom of Page)"/>
        <w:docPartUnique/>
      </w:docPartObj>
    </w:sdtPr>
    <w:sdtEndPr>
      <w:rPr>
        <w:noProof/>
      </w:rPr>
    </w:sdtEndPr>
    <w:sdtContent>
      <w:p w14:paraId="68A8134E" w14:textId="08D341DD" w:rsidR="005B1E11" w:rsidRDefault="005B1E11">
        <w:pPr>
          <w:pStyle w:val="Footer"/>
        </w:pPr>
        <w:r>
          <w:fldChar w:fldCharType="begin"/>
        </w:r>
        <w:r>
          <w:instrText xml:space="preserve"> PAGE   \* MERGEFORMAT </w:instrText>
        </w:r>
        <w:r>
          <w:fldChar w:fldCharType="separate"/>
        </w:r>
        <w:r w:rsidR="002B14BC">
          <w:rPr>
            <w:noProof/>
          </w:rPr>
          <w:t>1</w:t>
        </w:r>
        <w:r>
          <w:rPr>
            <w:noProof/>
          </w:rPr>
          <w:fldChar w:fldCharType="end"/>
        </w:r>
      </w:p>
    </w:sdtContent>
  </w:sdt>
  <w:p w14:paraId="2E03F3AE" w14:textId="77777777" w:rsidR="005B1E11" w:rsidRDefault="005B1E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DADDF" w14:textId="77777777" w:rsidR="000912D6" w:rsidRDefault="000912D6" w:rsidP="00F25D5B">
      <w:pPr>
        <w:spacing w:after="0" w:line="240" w:lineRule="auto"/>
      </w:pPr>
      <w:r>
        <w:separator/>
      </w:r>
    </w:p>
  </w:footnote>
  <w:footnote w:type="continuationSeparator" w:id="0">
    <w:p w14:paraId="0CE75BEA" w14:textId="77777777" w:rsidR="000912D6" w:rsidRDefault="000912D6" w:rsidP="00F25D5B">
      <w:pPr>
        <w:spacing w:after="0" w:line="240" w:lineRule="auto"/>
      </w:pPr>
      <w:r>
        <w:continuationSeparator/>
      </w:r>
    </w:p>
  </w:footnote>
  <w:footnote w:id="1">
    <w:p w14:paraId="305C3CF8" w14:textId="6DA388B4" w:rsidR="005B1E11" w:rsidRDefault="005B1E11">
      <w:pPr>
        <w:pStyle w:val="FootnoteText"/>
      </w:pPr>
      <w:r>
        <w:rPr>
          <w:rStyle w:val="FootnoteReference"/>
        </w:rPr>
        <w:footnoteRef/>
      </w:r>
      <w:r>
        <w:t xml:space="preserve"> </w:t>
      </w:r>
      <w:r w:rsidRPr="00084EC7">
        <w:t xml:space="preserve">EPA, 2015. </w:t>
      </w:r>
      <w:r w:rsidRPr="00160D14">
        <w:rPr>
          <w:i/>
        </w:rPr>
        <w:t>Interagency Work Group on Air Quality Modeling Phase 3 Summary Report: Near-Field Single Source Secondary Impacts.</w:t>
      </w:r>
      <w:r w:rsidRPr="00084EC7">
        <w:t xml:space="preserve"> </w:t>
      </w:r>
      <w:hyperlink r:id="rId1" w:history="1">
        <w:r w:rsidRPr="001C1294">
          <w:rPr>
            <w:rStyle w:val="Hyperlink"/>
          </w:rPr>
          <w:t>http://www3.epa.gov/ttn/scram/11thmodconf/IWAQM3_NFI_Report-07152015.pdf</w:t>
        </w:r>
      </w:hyperlink>
      <w:r>
        <w:t xml:space="preserve"> </w:t>
      </w:r>
    </w:p>
  </w:footnote>
  <w:footnote w:id="2">
    <w:p w14:paraId="274EB99C" w14:textId="13C61C95" w:rsidR="005B1E11" w:rsidRDefault="005B1E11" w:rsidP="00084EC7">
      <w:pPr>
        <w:pStyle w:val="FootnoteText"/>
      </w:pPr>
      <w:r>
        <w:rPr>
          <w:rStyle w:val="FootnoteReference"/>
        </w:rPr>
        <w:footnoteRef/>
      </w:r>
      <w:r>
        <w:t xml:space="preserve"> NESCAUM, 2006. </w:t>
      </w:r>
      <w:r w:rsidRPr="00160D14">
        <w:rPr>
          <w:i/>
        </w:rPr>
        <w:t>Contribution to Regional Haze in the Northeast and Mid-Atlantic United States.</w:t>
      </w:r>
      <w:r>
        <w:t xml:space="preserve"> </w:t>
      </w:r>
      <w:hyperlink r:id="rId2" w:history="1">
        <w:r w:rsidRPr="001C1294">
          <w:rPr>
            <w:rStyle w:val="Hyperlink"/>
          </w:rPr>
          <w:t>http://www.nescaum.org/topics/regional-haze/regional-haze-documents</w:t>
        </w:r>
      </w:hyperlink>
      <w:r>
        <w:t xml:space="preserve">  </w:t>
      </w:r>
    </w:p>
  </w:footnote>
  <w:footnote w:id="3">
    <w:p w14:paraId="5F1F6171" w14:textId="446210DE" w:rsidR="005B1E11" w:rsidRDefault="005B1E11">
      <w:pPr>
        <w:pStyle w:val="FootnoteText"/>
      </w:pPr>
      <w:r>
        <w:rPr>
          <w:rStyle w:val="FootnoteReference"/>
        </w:rPr>
        <w:footnoteRef/>
      </w:r>
      <w:r>
        <w:t xml:space="preserve"> NESCAUM, 2012. </w:t>
      </w:r>
      <w:r w:rsidRPr="00160D14">
        <w:rPr>
          <w:i/>
        </w:rPr>
        <w:t xml:space="preserve">Contributions to Regional Haze in the Northeast and Mid-Atlantic United States: Preliminary Update </w:t>
      </w:r>
      <w:r w:rsidR="002B14BC" w:rsidRPr="00160D14">
        <w:rPr>
          <w:i/>
        </w:rPr>
        <w:t>through</w:t>
      </w:r>
      <w:r w:rsidRPr="00160D14">
        <w:rPr>
          <w:i/>
        </w:rPr>
        <w:t xml:space="preserve"> 200</w:t>
      </w:r>
      <w:r>
        <w:t xml:space="preserve">7. </w:t>
      </w:r>
      <w:hyperlink r:id="rId3" w:history="1">
        <w:r w:rsidRPr="001C1294">
          <w:rPr>
            <w:rStyle w:val="Hyperlink"/>
          </w:rPr>
          <w:t>http://www.nescaum.org/topics/regional-haze/regional-haze-documents</w:t>
        </w:r>
      </w:hyperlink>
      <w:r>
        <w:t xml:space="preserve">  </w:t>
      </w:r>
    </w:p>
  </w:footnote>
  <w:footnote w:id="4">
    <w:p w14:paraId="06E74156" w14:textId="1F602D8D" w:rsidR="005B1E11" w:rsidRDefault="005B1E11">
      <w:pPr>
        <w:pStyle w:val="FootnoteText"/>
      </w:pPr>
      <w:r>
        <w:rPr>
          <w:rStyle w:val="FootnoteReference"/>
        </w:rPr>
        <w:footnoteRef/>
      </w:r>
      <w:r>
        <w:t xml:space="preserve"> MANE-VU, 2015.  </w:t>
      </w:r>
      <w:r w:rsidRPr="00160D14">
        <w:rPr>
          <w:i/>
        </w:rPr>
        <w:t>Recommendation on Sectors to Review as Part of the Four-Factor Analysis Based on an Emission Inventory Analysis of SO2 &amp; NOX</w:t>
      </w:r>
      <w:r>
        <w:rPr>
          <w:i/>
        </w:rPr>
        <w:t>. Appendix 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377453"/>
      <w:docPartObj>
        <w:docPartGallery w:val="Watermarks"/>
        <w:docPartUnique/>
      </w:docPartObj>
    </w:sdtPr>
    <w:sdtEndPr/>
    <w:sdtContent>
      <w:p w14:paraId="5AC16E57" w14:textId="5B76444D" w:rsidR="005B1E11" w:rsidRDefault="002B14BC">
        <w:pPr>
          <w:pStyle w:val="Header"/>
        </w:pPr>
        <w:r>
          <w:rPr>
            <w:noProof/>
          </w:rPr>
          <w:pict w14:anchorId="3D32A9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980"/>
    <w:rsid w:val="00013FAD"/>
    <w:rsid w:val="000210AE"/>
    <w:rsid w:val="00042AFA"/>
    <w:rsid w:val="000437EC"/>
    <w:rsid w:val="0004498D"/>
    <w:rsid w:val="000504B3"/>
    <w:rsid w:val="00054CA2"/>
    <w:rsid w:val="00071A1C"/>
    <w:rsid w:val="00075813"/>
    <w:rsid w:val="000764D1"/>
    <w:rsid w:val="00084EC7"/>
    <w:rsid w:val="000912D6"/>
    <w:rsid w:val="000B30E5"/>
    <w:rsid w:val="000B6388"/>
    <w:rsid w:val="000C1D82"/>
    <w:rsid w:val="000E2AFC"/>
    <w:rsid w:val="00102D52"/>
    <w:rsid w:val="001076DE"/>
    <w:rsid w:val="001139D9"/>
    <w:rsid w:val="001253AD"/>
    <w:rsid w:val="00132532"/>
    <w:rsid w:val="00160D14"/>
    <w:rsid w:val="00162922"/>
    <w:rsid w:val="001977A6"/>
    <w:rsid w:val="001B3076"/>
    <w:rsid w:val="001C2F17"/>
    <w:rsid w:val="001C6A1B"/>
    <w:rsid w:val="00214CF1"/>
    <w:rsid w:val="00220E04"/>
    <w:rsid w:val="00220EBA"/>
    <w:rsid w:val="002503C3"/>
    <w:rsid w:val="002510C3"/>
    <w:rsid w:val="00252BD2"/>
    <w:rsid w:val="002A4BEB"/>
    <w:rsid w:val="002B14BC"/>
    <w:rsid w:val="002E6924"/>
    <w:rsid w:val="002F4A53"/>
    <w:rsid w:val="003027D4"/>
    <w:rsid w:val="00303C6A"/>
    <w:rsid w:val="00330CF4"/>
    <w:rsid w:val="00356FF8"/>
    <w:rsid w:val="00364A45"/>
    <w:rsid w:val="00367BAD"/>
    <w:rsid w:val="00370452"/>
    <w:rsid w:val="00371158"/>
    <w:rsid w:val="00394CA3"/>
    <w:rsid w:val="0039506A"/>
    <w:rsid w:val="003A2C39"/>
    <w:rsid w:val="003B6171"/>
    <w:rsid w:val="003B74B3"/>
    <w:rsid w:val="003E38E5"/>
    <w:rsid w:val="003E4A74"/>
    <w:rsid w:val="003F2D08"/>
    <w:rsid w:val="00414277"/>
    <w:rsid w:val="004156C4"/>
    <w:rsid w:val="0042431C"/>
    <w:rsid w:val="0045014C"/>
    <w:rsid w:val="0045116C"/>
    <w:rsid w:val="00456425"/>
    <w:rsid w:val="004624EF"/>
    <w:rsid w:val="00464129"/>
    <w:rsid w:val="0046507E"/>
    <w:rsid w:val="00472E56"/>
    <w:rsid w:val="0049182A"/>
    <w:rsid w:val="00493FE5"/>
    <w:rsid w:val="004A4EB2"/>
    <w:rsid w:val="004A5B2B"/>
    <w:rsid w:val="004B0CFC"/>
    <w:rsid w:val="004C1097"/>
    <w:rsid w:val="004C7E13"/>
    <w:rsid w:val="004D2393"/>
    <w:rsid w:val="004D4723"/>
    <w:rsid w:val="004D7B65"/>
    <w:rsid w:val="004D7FF5"/>
    <w:rsid w:val="004E3DA2"/>
    <w:rsid w:val="004E6C24"/>
    <w:rsid w:val="00503221"/>
    <w:rsid w:val="0050509E"/>
    <w:rsid w:val="00506CC9"/>
    <w:rsid w:val="00514EA1"/>
    <w:rsid w:val="00562A1C"/>
    <w:rsid w:val="00563332"/>
    <w:rsid w:val="00570283"/>
    <w:rsid w:val="005745C6"/>
    <w:rsid w:val="00574703"/>
    <w:rsid w:val="00580A1D"/>
    <w:rsid w:val="00592154"/>
    <w:rsid w:val="005A33BA"/>
    <w:rsid w:val="005B1E11"/>
    <w:rsid w:val="005B2A3C"/>
    <w:rsid w:val="005B2A56"/>
    <w:rsid w:val="005D0CA6"/>
    <w:rsid w:val="005D314E"/>
    <w:rsid w:val="005D4F4D"/>
    <w:rsid w:val="006104FB"/>
    <w:rsid w:val="00660C5E"/>
    <w:rsid w:val="00670CCA"/>
    <w:rsid w:val="00677C24"/>
    <w:rsid w:val="006902DF"/>
    <w:rsid w:val="006B50E4"/>
    <w:rsid w:val="006C549D"/>
    <w:rsid w:val="006C612F"/>
    <w:rsid w:val="006D198C"/>
    <w:rsid w:val="006D2C02"/>
    <w:rsid w:val="006E7046"/>
    <w:rsid w:val="006F2482"/>
    <w:rsid w:val="006F49F0"/>
    <w:rsid w:val="007039B8"/>
    <w:rsid w:val="00706E0E"/>
    <w:rsid w:val="00764A94"/>
    <w:rsid w:val="007D462B"/>
    <w:rsid w:val="007E06C3"/>
    <w:rsid w:val="007E15EA"/>
    <w:rsid w:val="008063DC"/>
    <w:rsid w:val="00811580"/>
    <w:rsid w:val="00845195"/>
    <w:rsid w:val="008669E1"/>
    <w:rsid w:val="00867781"/>
    <w:rsid w:val="00894771"/>
    <w:rsid w:val="008A4B5B"/>
    <w:rsid w:val="008B01C6"/>
    <w:rsid w:val="008B0B07"/>
    <w:rsid w:val="008B6088"/>
    <w:rsid w:val="008C0BBB"/>
    <w:rsid w:val="008E1138"/>
    <w:rsid w:val="008E61E5"/>
    <w:rsid w:val="00915557"/>
    <w:rsid w:val="009200B8"/>
    <w:rsid w:val="00942B7B"/>
    <w:rsid w:val="00943954"/>
    <w:rsid w:val="00944927"/>
    <w:rsid w:val="00954B52"/>
    <w:rsid w:val="00973A25"/>
    <w:rsid w:val="009A26C9"/>
    <w:rsid w:val="009B2486"/>
    <w:rsid w:val="00A009D7"/>
    <w:rsid w:val="00A13EB2"/>
    <w:rsid w:val="00A14AFF"/>
    <w:rsid w:val="00A573D3"/>
    <w:rsid w:val="00A57718"/>
    <w:rsid w:val="00A63D75"/>
    <w:rsid w:val="00A70A1D"/>
    <w:rsid w:val="00A82AA0"/>
    <w:rsid w:val="00A851F4"/>
    <w:rsid w:val="00AA4C5B"/>
    <w:rsid w:val="00AE1D17"/>
    <w:rsid w:val="00AF51F7"/>
    <w:rsid w:val="00B33116"/>
    <w:rsid w:val="00B60ADB"/>
    <w:rsid w:val="00B750E9"/>
    <w:rsid w:val="00B873AD"/>
    <w:rsid w:val="00B90C97"/>
    <w:rsid w:val="00B95B1C"/>
    <w:rsid w:val="00BA0DE8"/>
    <w:rsid w:val="00BB3D34"/>
    <w:rsid w:val="00BD48BA"/>
    <w:rsid w:val="00BF0BD0"/>
    <w:rsid w:val="00BF6A69"/>
    <w:rsid w:val="00C132A4"/>
    <w:rsid w:val="00C512C0"/>
    <w:rsid w:val="00C53F26"/>
    <w:rsid w:val="00C61870"/>
    <w:rsid w:val="00C8439A"/>
    <w:rsid w:val="00C904E8"/>
    <w:rsid w:val="00C921F6"/>
    <w:rsid w:val="00CA0A36"/>
    <w:rsid w:val="00CA50E8"/>
    <w:rsid w:val="00CA66E6"/>
    <w:rsid w:val="00CB147F"/>
    <w:rsid w:val="00CB4A6F"/>
    <w:rsid w:val="00CE43DF"/>
    <w:rsid w:val="00CF3E0F"/>
    <w:rsid w:val="00D0006A"/>
    <w:rsid w:val="00D01AA5"/>
    <w:rsid w:val="00D04928"/>
    <w:rsid w:val="00D20D4F"/>
    <w:rsid w:val="00D24ECF"/>
    <w:rsid w:val="00D26E26"/>
    <w:rsid w:val="00D33633"/>
    <w:rsid w:val="00D42B24"/>
    <w:rsid w:val="00D60210"/>
    <w:rsid w:val="00D62DDA"/>
    <w:rsid w:val="00D6515D"/>
    <w:rsid w:val="00D74047"/>
    <w:rsid w:val="00D80630"/>
    <w:rsid w:val="00D930CB"/>
    <w:rsid w:val="00DA0325"/>
    <w:rsid w:val="00DA05DF"/>
    <w:rsid w:val="00DB54B7"/>
    <w:rsid w:val="00DD385D"/>
    <w:rsid w:val="00DE178D"/>
    <w:rsid w:val="00E03B01"/>
    <w:rsid w:val="00E0415C"/>
    <w:rsid w:val="00E057C9"/>
    <w:rsid w:val="00E24F39"/>
    <w:rsid w:val="00E6432E"/>
    <w:rsid w:val="00E96AB0"/>
    <w:rsid w:val="00EA7074"/>
    <w:rsid w:val="00EB58A9"/>
    <w:rsid w:val="00EC31AC"/>
    <w:rsid w:val="00ED4CD8"/>
    <w:rsid w:val="00EE09F4"/>
    <w:rsid w:val="00EE1839"/>
    <w:rsid w:val="00EE2E8E"/>
    <w:rsid w:val="00EE4EB6"/>
    <w:rsid w:val="00F02836"/>
    <w:rsid w:val="00F12765"/>
    <w:rsid w:val="00F25D5B"/>
    <w:rsid w:val="00F351E4"/>
    <w:rsid w:val="00F40B92"/>
    <w:rsid w:val="00F52241"/>
    <w:rsid w:val="00F627F6"/>
    <w:rsid w:val="00F65924"/>
    <w:rsid w:val="00F92769"/>
    <w:rsid w:val="00F976D2"/>
    <w:rsid w:val="00FA5E24"/>
    <w:rsid w:val="00FB4CD6"/>
    <w:rsid w:val="00FD5E0C"/>
    <w:rsid w:val="00FE382A"/>
    <w:rsid w:val="00FF1980"/>
    <w:rsid w:val="00FF6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887C6C8"/>
  <w15:docId w15:val="{47A736B1-8FA2-4934-B501-32F1214A9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51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38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B30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E704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385D"/>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F40B92"/>
    <w:pPr>
      <w:spacing w:after="0" w:line="240" w:lineRule="auto"/>
    </w:pPr>
  </w:style>
  <w:style w:type="paragraph" w:styleId="FootnoteText">
    <w:name w:val="footnote text"/>
    <w:basedOn w:val="Normal"/>
    <w:link w:val="FootnoteTextChar"/>
    <w:uiPriority w:val="99"/>
    <w:semiHidden/>
    <w:unhideWhenUsed/>
    <w:rsid w:val="00F25D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5D5B"/>
    <w:rPr>
      <w:sz w:val="20"/>
      <w:szCs w:val="20"/>
    </w:rPr>
  </w:style>
  <w:style w:type="character" w:styleId="FootnoteReference">
    <w:name w:val="footnote reference"/>
    <w:basedOn w:val="DefaultParagraphFont"/>
    <w:uiPriority w:val="99"/>
    <w:semiHidden/>
    <w:unhideWhenUsed/>
    <w:rsid w:val="00F25D5B"/>
    <w:rPr>
      <w:vertAlign w:val="superscript"/>
    </w:rPr>
  </w:style>
  <w:style w:type="character" w:styleId="Hyperlink">
    <w:name w:val="Hyperlink"/>
    <w:basedOn w:val="DefaultParagraphFont"/>
    <w:uiPriority w:val="99"/>
    <w:unhideWhenUsed/>
    <w:rsid w:val="00F25D5B"/>
    <w:rPr>
      <w:color w:val="0563C1" w:themeColor="hyperlink"/>
      <w:u w:val="single"/>
    </w:rPr>
  </w:style>
  <w:style w:type="paragraph" w:styleId="Caption">
    <w:name w:val="caption"/>
    <w:basedOn w:val="Normal"/>
    <w:next w:val="Normal"/>
    <w:uiPriority w:val="35"/>
    <w:unhideWhenUsed/>
    <w:qFormat/>
    <w:rsid w:val="0050322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F0BD0"/>
    <w:rPr>
      <w:sz w:val="16"/>
      <w:szCs w:val="16"/>
    </w:rPr>
  </w:style>
  <w:style w:type="paragraph" w:styleId="CommentText">
    <w:name w:val="annotation text"/>
    <w:basedOn w:val="Normal"/>
    <w:link w:val="CommentTextChar"/>
    <w:uiPriority w:val="99"/>
    <w:semiHidden/>
    <w:unhideWhenUsed/>
    <w:rsid w:val="00BF0BD0"/>
    <w:pPr>
      <w:spacing w:line="240" w:lineRule="auto"/>
    </w:pPr>
    <w:rPr>
      <w:sz w:val="20"/>
      <w:szCs w:val="20"/>
    </w:rPr>
  </w:style>
  <w:style w:type="character" w:customStyle="1" w:styleId="CommentTextChar">
    <w:name w:val="Comment Text Char"/>
    <w:basedOn w:val="DefaultParagraphFont"/>
    <w:link w:val="CommentText"/>
    <w:uiPriority w:val="99"/>
    <w:semiHidden/>
    <w:rsid w:val="00BF0BD0"/>
    <w:rPr>
      <w:sz w:val="20"/>
      <w:szCs w:val="20"/>
    </w:rPr>
  </w:style>
  <w:style w:type="paragraph" w:styleId="CommentSubject">
    <w:name w:val="annotation subject"/>
    <w:basedOn w:val="CommentText"/>
    <w:next w:val="CommentText"/>
    <w:link w:val="CommentSubjectChar"/>
    <w:uiPriority w:val="99"/>
    <w:semiHidden/>
    <w:unhideWhenUsed/>
    <w:rsid w:val="00BF0BD0"/>
    <w:rPr>
      <w:b/>
      <w:bCs/>
    </w:rPr>
  </w:style>
  <w:style w:type="character" w:customStyle="1" w:styleId="CommentSubjectChar">
    <w:name w:val="Comment Subject Char"/>
    <w:basedOn w:val="CommentTextChar"/>
    <w:link w:val="CommentSubject"/>
    <w:uiPriority w:val="99"/>
    <w:semiHidden/>
    <w:rsid w:val="00BF0BD0"/>
    <w:rPr>
      <w:b/>
      <w:bCs/>
      <w:sz w:val="20"/>
      <w:szCs w:val="20"/>
    </w:rPr>
  </w:style>
  <w:style w:type="paragraph" w:styleId="BalloonText">
    <w:name w:val="Balloon Text"/>
    <w:basedOn w:val="Normal"/>
    <w:link w:val="BalloonTextChar"/>
    <w:uiPriority w:val="99"/>
    <w:semiHidden/>
    <w:unhideWhenUsed/>
    <w:rsid w:val="00BF0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BD0"/>
    <w:rPr>
      <w:rFonts w:ascii="Segoe UI" w:hAnsi="Segoe UI" w:cs="Segoe UI"/>
      <w:sz w:val="18"/>
      <w:szCs w:val="18"/>
    </w:rPr>
  </w:style>
  <w:style w:type="character" w:customStyle="1" w:styleId="Heading3Char">
    <w:name w:val="Heading 3 Char"/>
    <w:basedOn w:val="DefaultParagraphFont"/>
    <w:link w:val="Heading3"/>
    <w:uiPriority w:val="9"/>
    <w:rsid w:val="000B30E5"/>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80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976D2"/>
    <w:rPr>
      <w:color w:val="808080"/>
    </w:rPr>
  </w:style>
  <w:style w:type="character" w:customStyle="1" w:styleId="NoSpacingChar">
    <w:name w:val="No Spacing Char"/>
    <w:basedOn w:val="DefaultParagraphFont"/>
    <w:link w:val="NoSpacing"/>
    <w:uiPriority w:val="1"/>
    <w:rsid w:val="00D6515D"/>
  </w:style>
  <w:style w:type="character" w:customStyle="1" w:styleId="Heading1Char">
    <w:name w:val="Heading 1 Char"/>
    <w:basedOn w:val="DefaultParagraphFont"/>
    <w:link w:val="Heading1"/>
    <w:uiPriority w:val="9"/>
    <w:rsid w:val="00D6515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0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9F4"/>
  </w:style>
  <w:style w:type="paragraph" w:styleId="Footer">
    <w:name w:val="footer"/>
    <w:basedOn w:val="Normal"/>
    <w:link w:val="FooterChar"/>
    <w:uiPriority w:val="99"/>
    <w:unhideWhenUsed/>
    <w:rsid w:val="00EE0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9F4"/>
  </w:style>
  <w:style w:type="paragraph" w:styleId="Title">
    <w:name w:val="Title"/>
    <w:basedOn w:val="Normal"/>
    <w:next w:val="Normal"/>
    <w:link w:val="TitleChar"/>
    <w:uiPriority w:val="10"/>
    <w:qFormat/>
    <w:rsid w:val="00EE09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09F4"/>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EE09F4"/>
    <w:pPr>
      <w:outlineLvl w:val="9"/>
    </w:pPr>
  </w:style>
  <w:style w:type="paragraph" w:styleId="TOC1">
    <w:name w:val="toc 1"/>
    <w:basedOn w:val="Normal"/>
    <w:next w:val="Normal"/>
    <w:autoRedefine/>
    <w:uiPriority w:val="39"/>
    <w:unhideWhenUsed/>
    <w:rsid w:val="00EE09F4"/>
    <w:pPr>
      <w:spacing w:after="100"/>
    </w:pPr>
  </w:style>
  <w:style w:type="paragraph" w:styleId="TOC2">
    <w:name w:val="toc 2"/>
    <w:basedOn w:val="Normal"/>
    <w:next w:val="Normal"/>
    <w:autoRedefine/>
    <w:uiPriority w:val="39"/>
    <w:unhideWhenUsed/>
    <w:rsid w:val="00EE09F4"/>
    <w:pPr>
      <w:spacing w:after="100"/>
      <w:ind w:left="220"/>
    </w:pPr>
  </w:style>
  <w:style w:type="paragraph" w:styleId="TOC3">
    <w:name w:val="toc 3"/>
    <w:basedOn w:val="Normal"/>
    <w:next w:val="Normal"/>
    <w:autoRedefine/>
    <w:uiPriority w:val="39"/>
    <w:unhideWhenUsed/>
    <w:rsid w:val="00EE09F4"/>
    <w:pPr>
      <w:spacing w:after="100"/>
      <w:ind w:left="440"/>
    </w:pPr>
  </w:style>
  <w:style w:type="character" w:styleId="FollowedHyperlink">
    <w:name w:val="FollowedHyperlink"/>
    <w:basedOn w:val="DefaultParagraphFont"/>
    <w:uiPriority w:val="99"/>
    <w:semiHidden/>
    <w:unhideWhenUsed/>
    <w:rsid w:val="00D80630"/>
    <w:rPr>
      <w:color w:val="954F72"/>
      <w:u w:val="single"/>
    </w:rPr>
  </w:style>
  <w:style w:type="paragraph" w:customStyle="1" w:styleId="xl65">
    <w:name w:val="xl65"/>
    <w:basedOn w:val="Normal"/>
    <w:rsid w:val="00D806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D806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D8063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D8063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D80630"/>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D8063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D80630"/>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D80630"/>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D80630"/>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D8063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D80630"/>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D8063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D80630"/>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D8063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D80630"/>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D8063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D80630"/>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D80630"/>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D8063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D80630"/>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D80630"/>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D80630"/>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D8063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D8063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D8063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0">
    <w:name w:val="xl90"/>
    <w:basedOn w:val="Normal"/>
    <w:rsid w:val="00D80630"/>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1">
    <w:name w:val="xl91"/>
    <w:basedOn w:val="Normal"/>
    <w:rsid w:val="00D8063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92">
    <w:name w:val="xl92"/>
    <w:basedOn w:val="Normal"/>
    <w:rsid w:val="00D8063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93">
    <w:name w:val="xl93"/>
    <w:basedOn w:val="Normal"/>
    <w:rsid w:val="00D8063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94">
    <w:name w:val="xl94"/>
    <w:basedOn w:val="Normal"/>
    <w:rsid w:val="00D80630"/>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95">
    <w:name w:val="xl95"/>
    <w:basedOn w:val="Normal"/>
    <w:rsid w:val="00D80630"/>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96">
    <w:name w:val="xl96"/>
    <w:basedOn w:val="Normal"/>
    <w:rsid w:val="00D80630"/>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7">
    <w:name w:val="xl97"/>
    <w:basedOn w:val="Normal"/>
    <w:rsid w:val="00D80630"/>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8">
    <w:name w:val="xl98"/>
    <w:basedOn w:val="Normal"/>
    <w:rsid w:val="00D80630"/>
    <w:pPr>
      <w:pBdr>
        <w:top w:val="single" w:sz="4" w:space="0" w:color="auto"/>
        <w:left w:val="single" w:sz="8" w:space="0" w:color="auto"/>
        <w:bottom w:val="single" w:sz="8"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9">
    <w:name w:val="xl99"/>
    <w:basedOn w:val="Normal"/>
    <w:rsid w:val="00D80630"/>
    <w:pPr>
      <w:pBdr>
        <w:top w:val="single" w:sz="4" w:space="0" w:color="auto"/>
        <w:bottom w:val="single" w:sz="8"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Normal"/>
    <w:rsid w:val="00D80630"/>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1">
    <w:name w:val="xl101"/>
    <w:basedOn w:val="Normal"/>
    <w:rsid w:val="00D80630"/>
    <w:pPr>
      <w:pBdr>
        <w:top w:val="single" w:sz="4" w:space="0" w:color="auto"/>
        <w:left w:val="single" w:sz="4" w:space="0" w:color="auto"/>
        <w:bottom w:val="single" w:sz="8" w:space="0" w:color="auto"/>
        <w:right w:val="single" w:sz="8"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6E7046"/>
    <w:rPr>
      <w:rFonts w:asciiTheme="majorHAnsi" w:eastAsiaTheme="majorEastAsia" w:hAnsiTheme="majorHAnsi" w:cstheme="majorBidi"/>
      <w:i/>
      <w:iCs/>
      <w:color w:val="2E74B5" w:themeColor="accent1" w:themeShade="BF"/>
    </w:rPr>
  </w:style>
  <w:style w:type="paragraph" w:styleId="TableofFigures">
    <w:name w:val="table of figures"/>
    <w:basedOn w:val="Normal"/>
    <w:next w:val="Normal"/>
    <w:uiPriority w:val="99"/>
    <w:unhideWhenUsed/>
    <w:rsid w:val="0046507E"/>
    <w:pPr>
      <w:spacing w:after="0"/>
    </w:pPr>
  </w:style>
  <w:style w:type="paragraph" w:styleId="NormalWeb">
    <w:name w:val="Normal (Web)"/>
    <w:basedOn w:val="Normal"/>
    <w:uiPriority w:val="99"/>
    <w:semiHidden/>
    <w:unhideWhenUsed/>
    <w:rsid w:val="00DA0325"/>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61865">
      <w:bodyDiv w:val="1"/>
      <w:marLeft w:val="0"/>
      <w:marRight w:val="0"/>
      <w:marTop w:val="0"/>
      <w:marBottom w:val="0"/>
      <w:divBdr>
        <w:top w:val="none" w:sz="0" w:space="0" w:color="auto"/>
        <w:left w:val="none" w:sz="0" w:space="0" w:color="auto"/>
        <w:bottom w:val="none" w:sz="0" w:space="0" w:color="auto"/>
        <w:right w:val="none" w:sz="0" w:space="0" w:color="auto"/>
      </w:divBdr>
    </w:div>
    <w:div w:id="439030540">
      <w:bodyDiv w:val="1"/>
      <w:marLeft w:val="0"/>
      <w:marRight w:val="0"/>
      <w:marTop w:val="0"/>
      <w:marBottom w:val="0"/>
      <w:divBdr>
        <w:top w:val="none" w:sz="0" w:space="0" w:color="auto"/>
        <w:left w:val="none" w:sz="0" w:space="0" w:color="auto"/>
        <w:bottom w:val="none" w:sz="0" w:space="0" w:color="auto"/>
        <w:right w:val="none" w:sz="0" w:space="0" w:color="auto"/>
      </w:divBdr>
    </w:div>
    <w:div w:id="451747427">
      <w:bodyDiv w:val="1"/>
      <w:marLeft w:val="0"/>
      <w:marRight w:val="0"/>
      <w:marTop w:val="0"/>
      <w:marBottom w:val="0"/>
      <w:divBdr>
        <w:top w:val="none" w:sz="0" w:space="0" w:color="auto"/>
        <w:left w:val="none" w:sz="0" w:space="0" w:color="auto"/>
        <w:bottom w:val="none" w:sz="0" w:space="0" w:color="auto"/>
        <w:right w:val="none" w:sz="0" w:space="0" w:color="auto"/>
      </w:divBdr>
    </w:div>
    <w:div w:id="1114056136">
      <w:bodyDiv w:val="1"/>
      <w:marLeft w:val="0"/>
      <w:marRight w:val="0"/>
      <w:marTop w:val="0"/>
      <w:marBottom w:val="0"/>
      <w:divBdr>
        <w:top w:val="none" w:sz="0" w:space="0" w:color="auto"/>
        <w:left w:val="none" w:sz="0" w:space="0" w:color="auto"/>
        <w:bottom w:val="none" w:sz="0" w:space="0" w:color="auto"/>
        <w:right w:val="none" w:sz="0" w:space="0" w:color="auto"/>
      </w:divBdr>
    </w:div>
    <w:div w:id="1665890907">
      <w:bodyDiv w:val="1"/>
      <w:marLeft w:val="0"/>
      <w:marRight w:val="0"/>
      <w:marTop w:val="0"/>
      <w:marBottom w:val="0"/>
      <w:divBdr>
        <w:top w:val="none" w:sz="0" w:space="0" w:color="auto"/>
        <w:left w:val="none" w:sz="0" w:space="0" w:color="auto"/>
        <w:bottom w:val="none" w:sz="0" w:space="0" w:color="auto"/>
        <w:right w:val="none" w:sz="0" w:space="0" w:color="auto"/>
      </w:divBdr>
    </w:div>
    <w:div w:id="178369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hyperlink" Target="file:///C:\Users\KnightK\Documents\2018%20RH%20SIP\QDC%20WriteUp_March%20Draft_040616.docx" TargetMode="External"/><Relationship Id="rId19" Type="http://schemas.openxmlformats.org/officeDocument/2006/relationships/chart" Target="charts/chart4.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nescaum.org/topics/regional-haze/regional-haze-documents" TargetMode="External"/><Relationship Id="rId2" Type="http://schemas.openxmlformats.org/officeDocument/2006/relationships/hyperlink" Target="http://www.nescaum.org/topics/regional-haze/regional-haze-documents" TargetMode="External"/><Relationship Id="rId1" Type="http://schemas.openxmlformats.org/officeDocument/2006/relationships/hyperlink" Target="http://www3.epa.gov/ttn/scram/11thmodconf/IWAQM3_NFI_Report-07152015.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KnightK\Documents\20142013Hazies%20Days%20Extinction.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server\Common\MANE-VU\Committees\TSC\Four%20Factor%20Workgroup\Q%20over%20d\draftQdC2018SCCStateSummary.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nightK\Documents\2018%20RH%20SIP\Copy%20of%20draftQdC2018SCCStateSummary%20-%20160330.xlsx" TargetMode="External"/><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nightK\Documents\2018%20RH%20SIP\Copy%20of%20draftQdC2018SCCStateSummary%20-%20160330.xlsx" TargetMode="External"/><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1" Type="http://schemas.openxmlformats.org/officeDocument/2006/relationships/oleObject" Target="file:///\\server\Common\MANE-VU\Committees\TSC\Four%20Factor%20Workgroup\Q%20over%20d\draftQdC2018SCCStateSummar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erver\Common\MANE-VU\Committees\TSC\Four%20Factor%20Workgroup\Q%20over%20d\draftQdC2018SCCStateSumma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Common\MANE-VU\Committees\TSC\Four%20Factor%20Workgroup\Q%20over%20d\draftQdC2018SCCStateSumma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Common\MANE-VU\Committees\TSC\Four%20Factor%20Workgroup\Q%20over%20d\draftQdC2018SCCStateSummar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Common\MANE-VU\Committees\TSC\Four%20Factor%20Workgroup\Q%20over%20d\draftQdC2018SCCStateSummary.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KnightK\Documents\2018%20RH%20SIP\Copy%20of%20draftQdC2018SCCStateSummary%20-%20160330.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oleObject" Target="file:///\\server\Common\MANE-VU\Committees\TSC\Four%20Factor%20Workgroup\Q%20over%20d\draftQdC2018SCCStateSummary.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KnightK\Documents\2018%20RH%20SIP\Copy%20of%20draftQdC2018SCCStateSummary%20-%20160330.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oleObject" Target="file:///\\server\Common\MANE-VU\Committees\TSC\Four%20Factor%20Workgroup\Q%20over%20d\draftQdC2018SCCStateSummary.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KnightK\Documents\2018%20RH%20SIP\Copy%20of%20draftQdC2018SCCStateSummary%20-%2016033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88118312134059"/>
          <c:y val="2.7804104658073248E-2"/>
          <c:w val="0.70825173295645738"/>
          <c:h val="0.81791770828052135"/>
        </c:manualLayout>
      </c:layout>
      <c:barChart>
        <c:barDir val="col"/>
        <c:grouping val="percentStacked"/>
        <c:varyColors val="0"/>
        <c:ser>
          <c:idx val="0"/>
          <c:order val="0"/>
          <c:tx>
            <c:strRef>
              <c:f>VisComponentsOfHazeHaziest_6!$A$44</c:f>
              <c:strCache>
                <c:ptCount val="1"/>
                <c:pt idx="0">
                  <c:v>Ammonium Sulfate</c:v>
                </c:pt>
              </c:strCache>
            </c:strRef>
          </c:tx>
          <c:spPr>
            <a:solidFill>
              <a:srgbClr val="FFFF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(VisComponentsOfHazeHaziest_6!$F$44,VisComponentsOfHazeHaziest_6!$F$37,VisComponentsOfHazeHaziest_6!$F$30,VisComponentsOfHazeHaziest_6!$F$23,VisComponentsOfHazeHaziest_6!$F$16,VisComponentsOfHazeHaziest_6!$F$9,VisComponentsOfHazeHaziest_6!$F$2,VisComponentsOfHazeHaziest_6!$F$51)</c:f>
              <c:strCache>
                <c:ptCount val="8"/>
                <c:pt idx="0">
                  <c:v>LYEB1</c:v>
                </c:pt>
                <c:pt idx="1">
                  <c:v>ACAD1</c:v>
                </c:pt>
                <c:pt idx="2">
                  <c:v>BRIG1</c:v>
                </c:pt>
                <c:pt idx="3">
                  <c:v>DOSO1</c:v>
                </c:pt>
                <c:pt idx="4">
                  <c:v>GRGU1</c:v>
                </c:pt>
                <c:pt idx="5">
                  <c:v>MOOS1</c:v>
                </c:pt>
                <c:pt idx="6">
                  <c:v>SHEN1</c:v>
                </c:pt>
                <c:pt idx="7">
                  <c:v>JARI1</c:v>
                </c:pt>
              </c:strCache>
            </c:strRef>
          </c:cat>
          <c:val>
            <c:numRef>
              <c:f>(VisComponentsOfHazeHaziest_6!$C$44,VisComponentsOfHazeHaziest_6!$C$37,VisComponentsOfHazeHaziest_6!$C$30,VisComponentsOfHazeHaziest_6!$C$23,VisComponentsOfHazeHaziest_6!$C$16,VisComponentsOfHazeHaziest_6!$C$9,VisComponentsOfHazeHaziest_6!$C$2,VisComponentsOfHazeHaziest_6!$C$51)</c:f>
              <c:numCache>
                <c:formatCode>General</c:formatCode>
                <c:ptCount val="8"/>
                <c:pt idx="0">
                  <c:v>27</c:v>
                </c:pt>
                <c:pt idx="1">
                  <c:v>20.100000000000001</c:v>
                </c:pt>
                <c:pt idx="2">
                  <c:v>36.800000000000004</c:v>
                </c:pt>
                <c:pt idx="3">
                  <c:v>47.2</c:v>
                </c:pt>
                <c:pt idx="4">
                  <c:v>22.8</c:v>
                </c:pt>
                <c:pt idx="5">
                  <c:v>18.600000000000001</c:v>
                </c:pt>
                <c:pt idx="6">
                  <c:v>41</c:v>
                </c:pt>
                <c:pt idx="7">
                  <c:v>8.9</c:v>
                </c:pt>
              </c:numCache>
            </c:numRef>
          </c:val>
        </c:ser>
        <c:ser>
          <c:idx val="1"/>
          <c:order val="1"/>
          <c:tx>
            <c:strRef>
              <c:f>VisComponentsOfHazeHaziest_6!$A$45</c:f>
              <c:strCache>
                <c:ptCount val="1"/>
                <c:pt idx="0">
                  <c:v>Ammonium Nitrate</c:v>
                </c:pt>
              </c:strCache>
            </c:strRef>
          </c:tx>
          <c:spPr>
            <a:solidFill>
              <a:srgbClr val="FF0000"/>
            </a:solidFill>
            <a:ln>
              <a:noFill/>
            </a:ln>
            <a:effectLst/>
          </c:spPr>
          <c:invertIfNegative val="0"/>
          <c:cat>
            <c:strRef>
              <c:f>(VisComponentsOfHazeHaziest_6!$F$44,VisComponentsOfHazeHaziest_6!$F$37,VisComponentsOfHazeHaziest_6!$F$30,VisComponentsOfHazeHaziest_6!$F$23,VisComponentsOfHazeHaziest_6!$F$16,VisComponentsOfHazeHaziest_6!$F$9,VisComponentsOfHazeHaziest_6!$F$2,VisComponentsOfHazeHaziest_6!$F$51)</c:f>
              <c:strCache>
                <c:ptCount val="8"/>
                <c:pt idx="0">
                  <c:v>LYEB1</c:v>
                </c:pt>
                <c:pt idx="1">
                  <c:v>ACAD1</c:v>
                </c:pt>
                <c:pt idx="2">
                  <c:v>BRIG1</c:v>
                </c:pt>
                <c:pt idx="3">
                  <c:v>DOSO1</c:v>
                </c:pt>
                <c:pt idx="4">
                  <c:v>GRGU1</c:v>
                </c:pt>
                <c:pt idx="5">
                  <c:v>MOOS1</c:v>
                </c:pt>
                <c:pt idx="6">
                  <c:v>SHEN1</c:v>
                </c:pt>
                <c:pt idx="7">
                  <c:v>JARI1</c:v>
                </c:pt>
              </c:strCache>
            </c:strRef>
          </c:cat>
          <c:val>
            <c:numRef>
              <c:f>(VisComponentsOfHazeHaziest_6!$C$45,VisComponentsOfHazeHaziest_6!$C$38,VisComponentsOfHazeHaziest_6!$C$31,VisComponentsOfHazeHaziest_6!$C$24,VisComponentsOfHazeHaziest_6!$C$17,VisComponentsOfHazeHaziest_6!$C$10,VisComponentsOfHazeHaziest_6!$C$3,VisComponentsOfHazeHaziest_6!$C$52)</c:f>
              <c:numCache>
                <c:formatCode>General</c:formatCode>
                <c:ptCount val="8"/>
                <c:pt idx="0">
                  <c:v>7.9</c:v>
                </c:pt>
                <c:pt idx="1">
                  <c:v>5</c:v>
                </c:pt>
                <c:pt idx="2">
                  <c:v>23.4</c:v>
                </c:pt>
                <c:pt idx="3">
                  <c:v>5.7</c:v>
                </c:pt>
                <c:pt idx="4">
                  <c:v>2.6</c:v>
                </c:pt>
                <c:pt idx="5">
                  <c:v>3.6</c:v>
                </c:pt>
                <c:pt idx="6">
                  <c:v>7.3</c:v>
                </c:pt>
                <c:pt idx="7">
                  <c:v>1.6</c:v>
                </c:pt>
              </c:numCache>
            </c:numRef>
          </c:val>
        </c:ser>
        <c:ser>
          <c:idx val="2"/>
          <c:order val="2"/>
          <c:tx>
            <c:strRef>
              <c:f>VisComponentsOfHazeHaziest_6!$A$46</c:f>
              <c:strCache>
                <c:ptCount val="1"/>
                <c:pt idx="0">
                  <c:v>Organic Carbon</c:v>
                </c:pt>
              </c:strCache>
            </c:strRef>
          </c:tx>
          <c:spPr>
            <a:solidFill>
              <a:srgbClr val="00B050"/>
            </a:solidFill>
            <a:ln>
              <a:noFill/>
            </a:ln>
            <a:effectLst/>
          </c:spPr>
          <c:invertIfNegative val="0"/>
          <c:cat>
            <c:strRef>
              <c:f>(VisComponentsOfHazeHaziest_6!$F$44,VisComponentsOfHazeHaziest_6!$F$37,VisComponentsOfHazeHaziest_6!$F$30,VisComponentsOfHazeHaziest_6!$F$23,VisComponentsOfHazeHaziest_6!$F$16,VisComponentsOfHazeHaziest_6!$F$9,VisComponentsOfHazeHaziest_6!$F$2,VisComponentsOfHazeHaziest_6!$F$51)</c:f>
              <c:strCache>
                <c:ptCount val="8"/>
                <c:pt idx="0">
                  <c:v>LYEB1</c:v>
                </c:pt>
                <c:pt idx="1">
                  <c:v>ACAD1</c:v>
                </c:pt>
                <c:pt idx="2">
                  <c:v>BRIG1</c:v>
                </c:pt>
                <c:pt idx="3">
                  <c:v>DOSO1</c:v>
                </c:pt>
                <c:pt idx="4">
                  <c:v>GRGU1</c:v>
                </c:pt>
                <c:pt idx="5">
                  <c:v>MOOS1</c:v>
                </c:pt>
                <c:pt idx="6">
                  <c:v>SHEN1</c:v>
                </c:pt>
                <c:pt idx="7">
                  <c:v>JARI1</c:v>
                </c:pt>
              </c:strCache>
            </c:strRef>
          </c:cat>
          <c:val>
            <c:numRef>
              <c:f>(VisComponentsOfHazeHaziest_6!$C$46,VisComponentsOfHazeHaziest_6!$C$39,VisComponentsOfHazeHaziest_6!$C$32,VisComponentsOfHazeHaziest_6!$C$25,VisComponentsOfHazeHaziest_6!$C$18,VisComponentsOfHazeHaziest_6!$C$11,VisComponentsOfHazeHaziest_6!$C$4,VisComponentsOfHazeHaziest_6!$C$53)</c:f>
              <c:numCache>
                <c:formatCode>General</c:formatCode>
                <c:ptCount val="8"/>
                <c:pt idx="0">
                  <c:v>6.8</c:v>
                </c:pt>
                <c:pt idx="1">
                  <c:v>7.7</c:v>
                </c:pt>
                <c:pt idx="2">
                  <c:v>12.4</c:v>
                </c:pt>
                <c:pt idx="3">
                  <c:v>8.1</c:v>
                </c:pt>
                <c:pt idx="4">
                  <c:v>8.4</c:v>
                </c:pt>
                <c:pt idx="5">
                  <c:v>8.3000000000000007</c:v>
                </c:pt>
                <c:pt idx="6">
                  <c:v>8.1</c:v>
                </c:pt>
                <c:pt idx="7">
                  <c:v>3.8</c:v>
                </c:pt>
              </c:numCache>
            </c:numRef>
          </c:val>
        </c:ser>
        <c:ser>
          <c:idx val="3"/>
          <c:order val="3"/>
          <c:tx>
            <c:strRef>
              <c:f>VisComponentsOfHazeHaziest_6!$A$47</c:f>
              <c:strCache>
                <c:ptCount val="1"/>
                <c:pt idx="0">
                  <c:v>Elemental Carbon</c:v>
                </c:pt>
              </c:strCache>
            </c:strRef>
          </c:tx>
          <c:spPr>
            <a:solidFill>
              <a:schemeClr val="tx1"/>
            </a:solidFill>
            <a:ln>
              <a:noFill/>
            </a:ln>
            <a:effectLst/>
          </c:spPr>
          <c:invertIfNegative val="0"/>
          <c:cat>
            <c:strRef>
              <c:f>(VisComponentsOfHazeHaziest_6!$F$44,VisComponentsOfHazeHaziest_6!$F$37,VisComponentsOfHazeHaziest_6!$F$30,VisComponentsOfHazeHaziest_6!$F$23,VisComponentsOfHazeHaziest_6!$F$16,VisComponentsOfHazeHaziest_6!$F$9,VisComponentsOfHazeHaziest_6!$F$2,VisComponentsOfHazeHaziest_6!$F$51)</c:f>
              <c:strCache>
                <c:ptCount val="8"/>
                <c:pt idx="0">
                  <c:v>LYEB1</c:v>
                </c:pt>
                <c:pt idx="1">
                  <c:v>ACAD1</c:v>
                </c:pt>
                <c:pt idx="2">
                  <c:v>BRIG1</c:v>
                </c:pt>
                <c:pt idx="3">
                  <c:v>DOSO1</c:v>
                </c:pt>
                <c:pt idx="4">
                  <c:v>GRGU1</c:v>
                </c:pt>
                <c:pt idx="5">
                  <c:v>MOOS1</c:v>
                </c:pt>
                <c:pt idx="6">
                  <c:v>SHEN1</c:v>
                </c:pt>
                <c:pt idx="7">
                  <c:v>JARI1</c:v>
                </c:pt>
              </c:strCache>
            </c:strRef>
          </c:cat>
          <c:val>
            <c:numRef>
              <c:f>(VisComponentsOfHazeHaziest_6!$C$47,VisComponentsOfHazeHaziest_6!$C$40,VisComponentsOfHazeHaziest_6!$C$33,VisComponentsOfHazeHaziest_6!$C$26,VisComponentsOfHazeHaziest_6!$C$19,VisComponentsOfHazeHaziest_6!$C$12,VisComponentsOfHazeHaziest_6!$C$5,VisComponentsOfHazeHaziest_6!$C$54)</c:f>
              <c:numCache>
                <c:formatCode>General</c:formatCode>
                <c:ptCount val="8"/>
                <c:pt idx="0">
                  <c:v>2.4</c:v>
                </c:pt>
                <c:pt idx="1">
                  <c:v>2.1</c:v>
                </c:pt>
                <c:pt idx="2">
                  <c:v>4.7</c:v>
                </c:pt>
                <c:pt idx="3">
                  <c:v>2.5</c:v>
                </c:pt>
                <c:pt idx="4">
                  <c:v>2.1</c:v>
                </c:pt>
                <c:pt idx="5">
                  <c:v>1.7</c:v>
                </c:pt>
                <c:pt idx="6">
                  <c:v>2.9</c:v>
                </c:pt>
                <c:pt idx="7">
                  <c:v>1.6</c:v>
                </c:pt>
              </c:numCache>
            </c:numRef>
          </c:val>
        </c:ser>
        <c:ser>
          <c:idx val="4"/>
          <c:order val="4"/>
          <c:tx>
            <c:strRef>
              <c:f>VisComponentsOfHazeHaziest_6!$A$48</c:f>
              <c:strCache>
                <c:ptCount val="1"/>
                <c:pt idx="0">
                  <c:v>Fine Soil</c:v>
                </c:pt>
              </c:strCache>
            </c:strRef>
          </c:tx>
          <c:spPr>
            <a:solidFill>
              <a:srgbClr val="D2842E"/>
            </a:solidFill>
            <a:ln>
              <a:noFill/>
            </a:ln>
            <a:effectLst/>
          </c:spPr>
          <c:invertIfNegative val="0"/>
          <c:cat>
            <c:strRef>
              <c:f>(VisComponentsOfHazeHaziest_6!$F$44,VisComponentsOfHazeHaziest_6!$F$37,VisComponentsOfHazeHaziest_6!$F$30,VisComponentsOfHazeHaziest_6!$F$23,VisComponentsOfHazeHaziest_6!$F$16,VisComponentsOfHazeHaziest_6!$F$9,VisComponentsOfHazeHaziest_6!$F$2,VisComponentsOfHazeHaziest_6!$F$51)</c:f>
              <c:strCache>
                <c:ptCount val="8"/>
                <c:pt idx="0">
                  <c:v>LYEB1</c:v>
                </c:pt>
                <c:pt idx="1">
                  <c:v>ACAD1</c:v>
                </c:pt>
                <c:pt idx="2">
                  <c:v>BRIG1</c:v>
                </c:pt>
                <c:pt idx="3">
                  <c:v>DOSO1</c:v>
                </c:pt>
                <c:pt idx="4">
                  <c:v>GRGU1</c:v>
                </c:pt>
                <c:pt idx="5">
                  <c:v>MOOS1</c:v>
                </c:pt>
                <c:pt idx="6">
                  <c:v>SHEN1</c:v>
                </c:pt>
                <c:pt idx="7">
                  <c:v>JARI1</c:v>
                </c:pt>
              </c:strCache>
            </c:strRef>
          </c:cat>
          <c:val>
            <c:numRef>
              <c:f>(VisComponentsOfHazeHaziest_6!$C$48,VisComponentsOfHazeHaziest_6!$C$41,VisComponentsOfHazeHaziest_6!$C$34,VisComponentsOfHazeHaziest_6!$C$27,VisComponentsOfHazeHaziest_6!$C$20,VisComponentsOfHazeHaziest_6!$C$13,VisComponentsOfHazeHaziest_6!$C$6,VisComponentsOfHazeHaziest_6!$C$55)</c:f>
              <c:numCache>
                <c:formatCode>General</c:formatCode>
                <c:ptCount val="8"/>
                <c:pt idx="0">
                  <c:v>0.30000000000000027</c:v>
                </c:pt>
                <c:pt idx="1">
                  <c:v>0.2</c:v>
                </c:pt>
                <c:pt idx="2">
                  <c:v>0.4</c:v>
                </c:pt>
                <c:pt idx="3">
                  <c:v>0.4</c:v>
                </c:pt>
                <c:pt idx="4">
                  <c:v>0.2</c:v>
                </c:pt>
                <c:pt idx="5">
                  <c:v>0.2</c:v>
                </c:pt>
                <c:pt idx="6">
                  <c:v>0.5</c:v>
                </c:pt>
                <c:pt idx="7">
                  <c:v>0.2</c:v>
                </c:pt>
              </c:numCache>
            </c:numRef>
          </c:val>
        </c:ser>
        <c:ser>
          <c:idx val="5"/>
          <c:order val="5"/>
          <c:tx>
            <c:strRef>
              <c:f>VisComponentsOfHazeHaziest_6!$A$49</c:f>
              <c:strCache>
                <c:ptCount val="1"/>
                <c:pt idx="0">
                  <c:v>Fine Sea Salt</c:v>
                </c:pt>
              </c:strCache>
            </c:strRef>
          </c:tx>
          <c:spPr>
            <a:solidFill>
              <a:srgbClr val="33CCFF"/>
            </a:solidFill>
            <a:ln>
              <a:noFill/>
            </a:ln>
            <a:effectLst/>
          </c:spPr>
          <c:invertIfNegative val="0"/>
          <c:cat>
            <c:strRef>
              <c:f>(VisComponentsOfHazeHaziest_6!$F$44,VisComponentsOfHazeHaziest_6!$F$37,VisComponentsOfHazeHaziest_6!$F$30,VisComponentsOfHazeHaziest_6!$F$23,VisComponentsOfHazeHaziest_6!$F$16,VisComponentsOfHazeHaziest_6!$F$9,VisComponentsOfHazeHaziest_6!$F$2,VisComponentsOfHazeHaziest_6!$F$51)</c:f>
              <c:strCache>
                <c:ptCount val="8"/>
                <c:pt idx="0">
                  <c:v>LYEB1</c:v>
                </c:pt>
                <c:pt idx="1">
                  <c:v>ACAD1</c:v>
                </c:pt>
                <c:pt idx="2">
                  <c:v>BRIG1</c:v>
                </c:pt>
                <c:pt idx="3">
                  <c:v>DOSO1</c:v>
                </c:pt>
                <c:pt idx="4">
                  <c:v>GRGU1</c:v>
                </c:pt>
                <c:pt idx="5">
                  <c:v>MOOS1</c:v>
                </c:pt>
                <c:pt idx="6">
                  <c:v>SHEN1</c:v>
                </c:pt>
                <c:pt idx="7">
                  <c:v>JARI1</c:v>
                </c:pt>
              </c:strCache>
            </c:strRef>
          </c:cat>
          <c:val>
            <c:numRef>
              <c:f>(VisComponentsOfHazeHaziest_6!$C$49,VisComponentsOfHazeHaziest_6!$C$42,VisComponentsOfHazeHaziest_6!$C$35,VisComponentsOfHazeHaziest_6!$C$28,VisComponentsOfHazeHaziest_6!$C$21,VisComponentsOfHazeHaziest_6!$C$14,VisComponentsOfHazeHaziest_6!$C$7,VisComponentsOfHazeHaziest_6!$C$56)</c:f>
              <c:numCache>
                <c:formatCode>General</c:formatCode>
                <c:ptCount val="8"/>
                <c:pt idx="0">
                  <c:v>0.30000000000000027</c:v>
                </c:pt>
                <c:pt idx="1">
                  <c:v>3.2</c:v>
                </c:pt>
                <c:pt idx="2">
                  <c:v>2.2000000000000002</c:v>
                </c:pt>
                <c:pt idx="3">
                  <c:v>0.30000000000000027</c:v>
                </c:pt>
                <c:pt idx="4">
                  <c:v>0.2</c:v>
                </c:pt>
                <c:pt idx="5">
                  <c:v>3.4</c:v>
                </c:pt>
                <c:pt idx="6">
                  <c:v>0.30000000000000027</c:v>
                </c:pt>
                <c:pt idx="7">
                  <c:v>0.2</c:v>
                </c:pt>
              </c:numCache>
            </c:numRef>
          </c:val>
        </c:ser>
        <c:ser>
          <c:idx val="6"/>
          <c:order val="6"/>
          <c:tx>
            <c:strRef>
              <c:f>VisComponentsOfHazeHaziest_6!$A$50</c:f>
              <c:strCache>
                <c:ptCount val="1"/>
                <c:pt idx="0">
                  <c:v>Coarse Mass</c:v>
                </c:pt>
              </c:strCache>
            </c:strRef>
          </c:tx>
          <c:spPr>
            <a:solidFill>
              <a:schemeClr val="bg1">
                <a:lumMod val="85000"/>
              </a:schemeClr>
            </a:solidFill>
            <a:ln>
              <a:noFill/>
            </a:ln>
            <a:effectLst/>
          </c:spPr>
          <c:invertIfNegative val="0"/>
          <c:cat>
            <c:strRef>
              <c:f>(VisComponentsOfHazeHaziest_6!$F$44,VisComponentsOfHazeHaziest_6!$F$37,VisComponentsOfHazeHaziest_6!$F$30,VisComponentsOfHazeHaziest_6!$F$23,VisComponentsOfHazeHaziest_6!$F$16,VisComponentsOfHazeHaziest_6!$F$9,VisComponentsOfHazeHaziest_6!$F$2,VisComponentsOfHazeHaziest_6!$F$51)</c:f>
              <c:strCache>
                <c:ptCount val="8"/>
                <c:pt idx="0">
                  <c:v>LYEB1</c:v>
                </c:pt>
                <c:pt idx="1">
                  <c:v>ACAD1</c:v>
                </c:pt>
                <c:pt idx="2">
                  <c:v>BRIG1</c:v>
                </c:pt>
                <c:pt idx="3">
                  <c:v>DOSO1</c:v>
                </c:pt>
                <c:pt idx="4">
                  <c:v>GRGU1</c:v>
                </c:pt>
                <c:pt idx="5">
                  <c:v>MOOS1</c:v>
                </c:pt>
                <c:pt idx="6">
                  <c:v>SHEN1</c:v>
                </c:pt>
                <c:pt idx="7">
                  <c:v>JARI1</c:v>
                </c:pt>
              </c:strCache>
            </c:strRef>
          </c:cat>
          <c:val>
            <c:numRef>
              <c:f>(VisComponentsOfHazeHaziest_6!$C$50,VisComponentsOfHazeHaziest_6!$C$43,VisComponentsOfHazeHaziest_6!$C$36,VisComponentsOfHazeHaziest_6!$C$29,VisComponentsOfHazeHaziest_6!$C$22,VisComponentsOfHazeHaziest_6!$C$15,VisComponentsOfHazeHaziest_6!$C$8,VisComponentsOfHazeHaziest_6!$C$57)</c:f>
              <c:numCache>
                <c:formatCode>General</c:formatCode>
                <c:ptCount val="8"/>
                <c:pt idx="0">
                  <c:v>2.1</c:v>
                </c:pt>
                <c:pt idx="1">
                  <c:v>2.9</c:v>
                </c:pt>
                <c:pt idx="2">
                  <c:v>5.5</c:v>
                </c:pt>
                <c:pt idx="3">
                  <c:v>2.2999999999999998</c:v>
                </c:pt>
                <c:pt idx="4">
                  <c:v>2.5</c:v>
                </c:pt>
                <c:pt idx="5">
                  <c:v>2.4</c:v>
                </c:pt>
                <c:pt idx="6">
                  <c:v>2.6</c:v>
                </c:pt>
                <c:pt idx="7">
                  <c:v>1.4</c:v>
                </c:pt>
              </c:numCache>
            </c:numRef>
          </c:val>
        </c:ser>
        <c:dLbls>
          <c:showLegendKey val="0"/>
          <c:showVal val="0"/>
          <c:showCatName val="0"/>
          <c:showSerName val="0"/>
          <c:showPercent val="0"/>
          <c:showBubbleSize val="0"/>
        </c:dLbls>
        <c:gapWidth val="150"/>
        <c:overlap val="100"/>
        <c:axId val="428057424"/>
        <c:axId val="320965776"/>
      </c:barChart>
      <c:catAx>
        <c:axId val="42805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20965776"/>
        <c:crosses val="autoZero"/>
        <c:auto val="1"/>
        <c:lblAlgn val="ctr"/>
        <c:lblOffset val="100"/>
        <c:noMultiLvlLbl val="0"/>
      </c:catAx>
      <c:valAx>
        <c:axId val="32096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Percent Extinction by Species</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28057424"/>
        <c:crosses val="autoZero"/>
        <c:crossBetween val="between"/>
      </c:valAx>
      <c:spPr>
        <a:noFill/>
        <a:ln>
          <a:noFill/>
        </a:ln>
        <a:effectLst/>
      </c:spPr>
    </c:plotArea>
    <c:legend>
      <c:legendPos val="r"/>
      <c:layout>
        <c:manualLayout>
          <c:xMode val="edge"/>
          <c:yMode val="edge"/>
          <c:x val="0.8481689002890167"/>
          <c:y val="4.2337073320439095E-2"/>
          <c:w val="0.14201515005521168"/>
          <c:h val="0.814220018238856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[draftQdC2018SCCStateSummary.xlsx]2011 State Charts!PivotTable3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2011</a:t>
            </a:r>
          </a:p>
        </c:rich>
      </c:tx>
      <c:layout/>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94CC48-81D9-4328-8D66-679574C488C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80E65D-D634-4759-BD6B-A1B5AA4312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44EF6D-BE15-4334-B3CA-DBF849F48EE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CD1BAA1-8DA5-4A84-B95F-3B2C4EA02EF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EB7240-84FC-4012-AFD1-71DD6DF4F06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ACF69E-C57F-45D9-AE86-A92AB7E57B8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24A4E9-0865-403C-991D-8EA30C527F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31D4221-5CC5-4BE6-B04E-5C3E624018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A5A587-D60A-4387-AC68-F0B629456B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B2584-C921-434C-A185-9A6EB25A8ED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A3140DC-2ED7-405B-8DEE-E80E28C1AA5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728D6CD-D250-4630-9E78-EB244EF831D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9F5E57E-F8F5-47BF-8600-AA9F8C77B26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8342D06-6CAF-4920-AB7F-31E8BD3F2BD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BC2B37-F8AD-4935-8373-B1B40F8BC99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E75BEB-49BC-48DD-8B62-11CE841116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CC3BCCE-140B-41A4-9686-2DE98EA79F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DE713A-7D14-4F36-A9AA-1A648594CEB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A0CAFC-1043-47D3-8679-3E9F9E930EB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11F3AE0-C599-4EC0-98FB-C061A29A6B7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CEC439-2626-4F9C-A65E-A3082DC8A0E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374F67-4EDE-4F60-98DF-AA6466877B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823837-3DD2-4CB5-A8E2-9C43310CB94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61CABA-DF0A-46CB-B3C4-F79533183D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2B9097-930D-4611-ABC1-3CD6484CF98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138D54-6919-4F9E-A483-1C207842CAE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9A0D111-E370-4943-81D9-9F166BD9603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B692B9-2A6C-4BC3-993C-9582AFFB762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01A262-EDA6-4822-B3A8-81C94FE3A57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7780D5-9B49-42EC-8B68-E6219857A1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FF492EF-F349-41E4-8CD4-238C0450D1E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7381F7-0F3C-444C-846C-2FAD94A36B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EF4107-02A2-457E-8934-7A42D06A388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7C9B561-5322-481D-A713-5F837E8A8A4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65BD4B8-D00E-4E8B-A720-40970CC7246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04721CE-68F0-48A5-9AC4-3DA31C7EFC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8C79C7-AEB1-4375-ADA3-D4ADB6F2D0B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A9F3F43-059F-4D67-9FCA-7E1B966C509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928BB3-1ACE-4D45-8B5D-4348A0F47C0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0AF5289-1890-4B39-BE2D-B86A8E82E37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C1FED4-A98A-47D5-A8CB-28A78C3A57B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E4BCB2-53FF-4734-B3D7-635E5E85BB2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54205E-1D68-4243-B751-C15FFDC3730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1F35E57-E2EA-4B76-9ADD-0A2C18DA4FB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4F60D40-890D-450F-9C43-6C3E0D2E3EC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9E7B137-639E-4FF6-B3D1-11AB7448ADE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3D23408-AB54-4C1F-AD04-35A998E7A21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FCCB186-D5FF-4C22-9BCE-500FF882ED2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672CC0E-8E62-4A7B-87BF-F108ED29838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AA76D8E-7AE7-469A-AEEE-57409C0A99A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0F5F330-99B2-4A75-A8FB-78EB5B13E6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786063-FFBE-49EE-BD08-01F908A14C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E7E70A-1043-43A6-A855-9426A493A5E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3D58BE2-7F2F-4080-B03B-FAFDF2E2CB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8A35FAC-366D-4CF7-B278-4785B55ED40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31A9B56-7829-466D-94C5-EEB30C7CD05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74C901-CAD2-4980-ACD9-BA0A58E2F9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023013-8353-4893-90E6-E973200DA75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129260E-66ED-4621-AB53-8655E3C5C5F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003B8E2-10BD-4BB5-94DB-DD3AE054071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90D91F-9EE3-47D0-A2F2-412B6E83C7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637292-D334-43D7-88E7-17DDB8CB85A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D80F196-3E88-482C-9AB8-5010DD1F9E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FA3338-569E-4FA6-B44B-BE8D7169DC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6D4EE7A-5224-43F4-A192-0C03F48295D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BFDAE8-25C2-4309-971B-04F4CF0CA2B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1904B8-711A-41F1-A9DD-6B8D862C81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B1303C-A4C8-4BAC-B888-7AA7F8ADCB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5470FA-393E-4FAA-AB8D-CFC9E4783EE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6DF5652-8A7E-470A-9630-8CA52B0F7C1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EF7C17-DE97-440C-A477-FB010DE4D8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4B6E0E-BA1F-43F7-899F-0E81D9F7A59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3F7DCA5-136D-4A51-B8AF-D73314408BB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A0458B-E099-4512-ACC7-CCB6C864953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38D29C-552C-4202-9E1C-CA24B2C4C6B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ACBFFDB-97CC-4335-936F-6CE38E1863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5BF9970-1309-43D3-9455-956CE9941CF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6EE287-E75D-4587-867F-DAA07F90C65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158691-8E55-4998-A93D-C428579EF0B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6F5550-C4D4-4551-A8AA-F2E3F90DC63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06F24C2-3F69-40C0-8DCE-7AED4E27B6B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B8CE81-D495-4C1A-BE9E-08765A5DFD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20C153-D7B6-4F21-BAAA-7575810C7FC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B5329B7-9C8B-4845-9D2F-22A61F6BD5D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3DD6BA-8703-4948-A137-50BE42B3B68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A523C5-B8B2-4AF6-B62C-62B56EAC96B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A86CC58-0247-4355-9160-6D1896894A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A200803-05CA-4BF0-BD68-922837F0705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31F4B3-D235-4017-8583-FDBB9940ED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F8AD5A-E6A2-4C25-BAA7-526B3DBA6F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B5C7261-3EF8-46C2-8F77-D690F72DDE0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28DAA2-0E92-46A4-8D8E-4693766EF44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1298547-D5D1-4B26-AAA9-F6F3A3182B2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FE09CD-931E-472F-A1C4-6D63210E140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87B3E6-87A5-4005-AFD9-0339A12F3D1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9B89BC-7A77-45AE-9B79-4514FDF1D61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D83C02-ED2E-4FC5-ACE8-A47A7E9842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B6DE889-F08A-48A1-A522-D95B5D9EA27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F09E931-B5A7-4CBF-961D-F0EAB141788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F09254A-5F1A-4A8A-96D9-58C9519F5D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FD13E9-F6E4-4467-9857-97DC579865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2306C90-DFFB-464D-A1B9-D8978135D5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6CA12A-5550-4521-9894-11DB3507807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7CEF84-2B6E-4A6C-8B32-9152767A67C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CB9DEAA-81EA-4E4B-AEA5-013E0CA5B00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3F07B5-0B48-4188-A36F-EEF6C6499EC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F00DECE-FE79-44C6-B33B-8F2B45B7EC4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7F75FC-7659-46AD-8740-3CB0D2C4907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CFEEBA9-D677-4DDB-B2E1-31B4AA576EF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E8E31D2-67FF-47D0-9DA7-5ADD4D4C5B7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EF646A-088B-45FB-BF8B-DE421B5A48B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3E136B-A4E7-49C5-8533-CC6A891CEE1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5FC45A-3AFE-4AFD-886E-BD64532D36D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DF473DA-66CD-4C3D-9CC7-7384AC42A3B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19B3D1-DE28-46EB-9F3C-8A8ACF7A94D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347BB2-1DFE-4EE3-B0D1-5CDF69E6ED1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FBF8853-3A0E-412B-B158-41B35F2AEBD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48889B8-30D7-49E2-89C7-C7ACB389CD8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30647A-9F46-4818-8099-83647327C93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F39608-6522-4F60-8A06-96FCAEC92A0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76F937-59D4-474B-9C1E-ABF496CF5C8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C007CF-584F-401E-9046-9947E39A332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D588009-8641-4505-8770-20D30E03815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080981-DB71-4D43-940D-2C7EC63FFF2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30E443-6C99-4286-B8BB-07C7D69B92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DE722F-35DE-480F-B872-CDBBD506BC2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B60EEB5-CD61-490E-B7C2-8F49FE550A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6FD23D1-147F-457E-8F54-D74963DC67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'2011 State Charts'!$F$4</c:f>
              <c:strCache>
                <c:ptCount val="1"/>
                <c:pt idx="0">
                  <c:v>Total</c:v>
                </c:pt>
              </c:strCache>
            </c:strRef>
          </c:tx>
          <c:spPr>
            <a:solidFill>
              <a:schemeClr val="accent1"/>
            </a:solidFill>
            <a:ln>
              <a:noFill/>
            </a:ln>
            <a:effectLst/>
          </c:spPr>
          <c:invertIfNegative val="0"/>
          <c:dLbls>
            <c:dLbl>
              <c:idx val="0"/>
              <c:layout/>
              <c:tx>
                <c:rich>
                  <a:bodyPr/>
                  <a:lstStyle/>
                  <a:p>
                    <a:fld id="{3BC5398D-3316-43B7-82AB-A5811F9D42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a:lstStyle/>
                  <a:p>
                    <a:fld id="{BFC2ACD3-E39B-41EC-8F00-D79CC58C0F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EAD6230D-DDB3-4B45-994F-F6630D7A7C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82CBD2E1-4CF7-4144-B9DA-F4348F6499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7EA1C61B-E274-4536-9EC1-4AD77C6F0E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F9A10564-BD3A-433C-A88B-F9B2BA3176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FFCB930E-1FCF-4F76-8072-9D8994F651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FA531303-C450-4AEA-8F53-50256CDE8CD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a:lstStyle/>
                  <a:p>
                    <a:fld id="{62BF16DD-2A49-4ADF-B974-0461F519D4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a:lstStyle/>
                  <a:p>
                    <a:fld id="{289665C1-82AB-4C03-A6DC-A959703A07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a:lstStyle/>
                  <a:p>
                    <a:fld id="{AB2B715C-30F7-4E71-9C00-80F636DABB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a:lstStyle/>
                  <a:p>
                    <a:fld id="{536652C8-9F3E-484C-B4D2-9F62D69F662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a:lstStyle/>
                  <a:p>
                    <a:fld id="{D7B678F8-ABCA-4321-AD69-2C33691477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a:lstStyle/>
                  <a:p>
                    <a:fld id="{ADB76191-5F02-4F36-B49A-E6223AB0876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a:lstStyle/>
                  <a:p>
                    <a:fld id="{C8C6C033-0410-498F-B1BB-9DEC8C395A0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a:lstStyle/>
                  <a:p>
                    <a:fld id="{4F248B56-7AD4-443B-ABCB-A5789CA62E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a:lstStyle/>
                  <a:p>
                    <a:fld id="{44382250-7FDC-484D-8F6C-0F1AB154A8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a:lstStyle/>
                  <a:p>
                    <a:fld id="{5C78FDC3-A1B2-4BD9-B64E-D75AD0B5460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a:lstStyle/>
                  <a:p>
                    <a:fld id="{05111D04-9DAF-4400-8887-A8EE80EC10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a:lstStyle/>
                  <a:p>
                    <a:fld id="{9E0ABA87-9632-4F15-AF44-BA5C739C453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a:lstStyle/>
                  <a:p>
                    <a:fld id="{B8CDD101-6777-4E27-803F-7DE9E6851D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a:lstStyle/>
                  <a:p>
                    <a:fld id="{A6D4CABB-0664-47DD-B0FC-B66D06EE08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a:lstStyle/>
                  <a:p>
                    <a:fld id="{D7EEC0F0-1807-449F-8C07-1EA418D0140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a:lstStyle/>
                  <a:p>
                    <a:fld id="{8E50951A-946B-4F8C-B6C7-E35F1DC3EE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a:lstStyle/>
                  <a:p>
                    <a:fld id="{098E6BE5-3844-43A6-9E09-5ECA44D7D71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a:lstStyle/>
                  <a:p>
                    <a:fld id="{DD820579-AD0B-44BE-A2DA-EF1E7218D2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a:lstStyle/>
                  <a:p>
                    <a:fld id="{C707E617-E524-43C5-836C-2E2301DCFB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a:lstStyle/>
                  <a:p>
                    <a:fld id="{947EA674-D1BE-4E79-81D9-6E462AD4F3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a:lstStyle/>
                  <a:p>
                    <a:fld id="{11FEB281-49C9-483B-ACF3-DBE7B92D13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a:lstStyle/>
                  <a:p>
                    <a:fld id="{BA22E1BA-F2EE-4CFC-A599-51021880AC8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a:lstStyle/>
                  <a:p>
                    <a:fld id="{9EB729D4-0BC5-41AE-9C3F-F4BFDFAC52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1"/>
              <c:layout/>
              <c:tx>
                <c:rich>
                  <a:bodyPr/>
                  <a:lstStyle/>
                  <a:p>
                    <a:fld id="{69519F2A-F9DC-43C3-BDAC-E272FB28D8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'2011 State Charts'!$H$5:$H$36</c:f>
              <c:strCache>
                <c:ptCount val="32"/>
                <c:pt idx="0">
                  <c:v>VT</c:v>
                </c:pt>
                <c:pt idx="1">
                  <c:v>RI</c:v>
                </c:pt>
                <c:pt idx="2">
                  <c:v>DC</c:v>
                </c:pt>
                <c:pt idx="3">
                  <c:v>ME</c:v>
                </c:pt>
                <c:pt idx="4">
                  <c:v>MN</c:v>
                </c:pt>
                <c:pt idx="5">
                  <c:v>CT</c:v>
                </c:pt>
                <c:pt idx="6">
                  <c:v>NH</c:v>
                </c:pt>
                <c:pt idx="7">
                  <c:v>MS</c:v>
                </c:pt>
                <c:pt idx="8">
                  <c:v>AR</c:v>
                </c:pt>
                <c:pt idx="9">
                  <c:v>WI</c:v>
                </c:pt>
                <c:pt idx="10">
                  <c:v>IA</c:v>
                </c:pt>
                <c:pt idx="11">
                  <c:v>MA</c:v>
                </c:pt>
                <c:pt idx="12">
                  <c:v>NJ</c:v>
                </c:pt>
                <c:pt idx="13">
                  <c:v>SC</c:v>
                </c:pt>
                <c:pt idx="14">
                  <c:v>LA</c:v>
                </c:pt>
                <c:pt idx="15">
                  <c:v>MO</c:v>
                </c:pt>
                <c:pt idx="16">
                  <c:v>TN</c:v>
                </c:pt>
                <c:pt idx="17">
                  <c:v>DE</c:v>
                </c:pt>
                <c:pt idx="18">
                  <c:v>MI</c:v>
                </c:pt>
                <c:pt idx="19">
                  <c:v>NC</c:v>
                </c:pt>
                <c:pt idx="20">
                  <c:v>IL</c:v>
                </c:pt>
                <c:pt idx="21">
                  <c:v>AL</c:v>
                </c:pt>
                <c:pt idx="22">
                  <c:v>GA</c:v>
                </c:pt>
                <c:pt idx="23">
                  <c:v>TX</c:v>
                </c:pt>
                <c:pt idx="24">
                  <c:v>WV</c:v>
                </c:pt>
                <c:pt idx="25">
                  <c:v>NY</c:v>
                </c:pt>
                <c:pt idx="26">
                  <c:v>VA</c:v>
                </c:pt>
                <c:pt idx="27">
                  <c:v>KY</c:v>
                </c:pt>
                <c:pt idx="28">
                  <c:v>IN</c:v>
                </c:pt>
                <c:pt idx="29">
                  <c:v>MD</c:v>
                </c:pt>
                <c:pt idx="30">
                  <c:v>OH</c:v>
                </c:pt>
                <c:pt idx="31">
                  <c:v>PA</c:v>
                </c:pt>
              </c:strCache>
            </c:strRef>
          </c:cat>
          <c:val>
            <c:numRef>
              <c:f>'2011 State Charts'!$H$5:$H$36</c:f>
              <c:numCache>
                <c:formatCode>General</c:formatCode>
                <c:ptCount val="32"/>
                <c:pt idx="0">
                  <c:v>5.7200000000000003E-4</c:v>
                </c:pt>
                <c:pt idx="1">
                  <c:v>1.1559999999999999E-3</c:v>
                </c:pt>
                <c:pt idx="2">
                  <c:v>1.2869999999999999E-3</c:v>
                </c:pt>
                <c:pt idx="3">
                  <c:v>2.068E-3</c:v>
                </c:pt>
                <c:pt idx="4">
                  <c:v>3.6979999999999999E-3</c:v>
                </c:pt>
                <c:pt idx="5">
                  <c:v>5.1630000000000001E-3</c:v>
                </c:pt>
                <c:pt idx="6">
                  <c:v>5.7499999999999999E-3</c:v>
                </c:pt>
                <c:pt idx="7">
                  <c:v>6.6220000000000003E-3</c:v>
                </c:pt>
                <c:pt idx="8">
                  <c:v>8.9759999999999996E-3</c:v>
                </c:pt>
                <c:pt idx="9">
                  <c:v>1.0026E-2</c:v>
                </c:pt>
                <c:pt idx="10">
                  <c:v>1.0659E-2</c:v>
                </c:pt>
                <c:pt idx="11">
                  <c:v>1.1183E-2</c:v>
                </c:pt>
                <c:pt idx="12">
                  <c:v>1.4794E-2</c:v>
                </c:pt>
                <c:pt idx="13">
                  <c:v>1.9819E-2</c:v>
                </c:pt>
                <c:pt idx="14">
                  <c:v>2.0910999999999999E-2</c:v>
                </c:pt>
                <c:pt idx="15">
                  <c:v>2.2057E-2</c:v>
                </c:pt>
                <c:pt idx="16">
                  <c:v>2.3040000000000001E-2</c:v>
                </c:pt>
                <c:pt idx="17">
                  <c:v>2.5876E-2</c:v>
                </c:pt>
                <c:pt idx="18">
                  <c:v>2.6884999999999999E-2</c:v>
                </c:pt>
                <c:pt idx="19">
                  <c:v>3.0265E-2</c:v>
                </c:pt>
                <c:pt idx="20">
                  <c:v>3.1115E-2</c:v>
                </c:pt>
                <c:pt idx="21">
                  <c:v>3.4159000000000002E-2</c:v>
                </c:pt>
                <c:pt idx="22">
                  <c:v>3.5036999999999999E-2</c:v>
                </c:pt>
                <c:pt idx="23">
                  <c:v>3.9565000000000003E-2</c:v>
                </c:pt>
                <c:pt idx="24">
                  <c:v>4.0104000000000001E-2</c:v>
                </c:pt>
                <c:pt idx="25">
                  <c:v>4.4764999999999999E-2</c:v>
                </c:pt>
                <c:pt idx="26">
                  <c:v>5.0458000000000003E-2</c:v>
                </c:pt>
                <c:pt idx="27">
                  <c:v>5.1056999999999998E-2</c:v>
                </c:pt>
                <c:pt idx="28">
                  <c:v>5.4433000000000002E-2</c:v>
                </c:pt>
                <c:pt idx="29">
                  <c:v>6.2602000000000005E-2</c:v>
                </c:pt>
                <c:pt idx="30">
                  <c:v>0.122695</c:v>
                </c:pt>
                <c:pt idx="31">
                  <c:v>0.14418500000000001</c:v>
                </c:pt>
              </c:numCache>
            </c:numRef>
          </c:val>
          <c:extLst>
            <c:ext xmlns:c15="http://schemas.microsoft.com/office/drawing/2012/chart" uri="{02D57815-91ED-43cb-92C2-25804820EDAC}">
              <c15:datalabelsRange>
                <c15:f>'2011 State Charts'!$H$5:$H$36</c15:f>
                <c15:dlblRangeCache>
                  <c:ptCount val="32"/>
                  <c:pt idx="0">
                    <c:v>0.06%</c:v>
                  </c:pt>
                  <c:pt idx="1">
                    <c:v>0.12%</c:v>
                  </c:pt>
                  <c:pt idx="2">
                    <c:v>0.13%</c:v>
                  </c:pt>
                  <c:pt idx="3">
                    <c:v>0.22%</c:v>
                  </c:pt>
                  <c:pt idx="4">
                    <c:v>0.38%</c:v>
                  </c:pt>
                  <c:pt idx="5">
                    <c:v>0.54%</c:v>
                  </c:pt>
                  <c:pt idx="6">
                    <c:v>0.60%</c:v>
                  </c:pt>
                  <c:pt idx="7">
                    <c:v>0.69%</c:v>
                  </c:pt>
                  <c:pt idx="8">
                    <c:v>0.93%</c:v>
                  </c:pt>
                  <c:pt idx="9">
                    <c:v>1.04%</c:v>
                  </c:pt>
                  <c:pt idx="10">
                    <c:v>1.11%</c:v>
                  </c:pt>
                  <c:pt idx="11">
                    <c:v>1.16%</c:v>
                  </c:pt>
                  <c:pt idx="12">
                    <c:v>1.54%</c:v>
                  </c:pt>
                  <c:pt idx="13">
                    <c:v>2.06%</c:v>
                  </c:pt>
                  <c:pt idx="14">
                    <c:v>2.18%</c:v>
                  </c:pt>
                  <c:pt idx="15">
                    <c:v>2.30%</c:v>
                  </c:pt>
                  <c:pt idx="16">
                    <c:v>2.40%</c:v>
                  </c:pt>
                  <c:pt idx="17">
                    <c:v>2.69%</c:v>
                  </c:pt>
                  <c:pt idx="18">
                    <c:v>2.80%</c:v>
                  </c:pt>
                  <c:pt idx="19">
                    <c:v>3.15%</c:v>
                  </c:pt>
                  <c:pt idx="20">
                    <c:v>3.24%</c:v>
                  </c:pt>
                  <c:pt idx="21">
                    <c:v>3.55%</c:v>
                  </c:pt>
                  <c:pt idx="22">
                    <c:v>3.65%</c:v>
                  </c:pt>
                  <c:pt idx="23">
                    <c:v>4.12%</c:v>
                  </c:pt>
                  <c:pt idx="24">
                    <c:v>4.17%</c:v>
                  </c:pt>
                  <c:pt idx="25">
                    <c:v>4.66%</c:v>
                  </c:pt>
                  <c:pt idx="26">
                    <c:v>5.25%</c:v>
                  </c:pt>
                  <c:pt idx="27">
                    <c:v>5.31%</c:v>
                  </c:pt>
                  <c:pt idx="28">
                    <c:v>5.66%</c:v>
                  </c:pt>
                  <c:pt idx="29">
                    <c:v>6.51%</c:v>
                  </c:pt>
                  <c:pt idx="30">
                    <c:v>12.77%</c:v>
                  </c:pt>
                  <c:pt idx="31">
                    <c:v>15.00%</c:v>
                  </c:pt>
                </c15:dlblRangeCache>
              </c15:datalabelsRange>
            </c:ext>
          </c:extLst>
        </c:ser>
        <c:dLbls>
          <c:showLegendKey val="0"/>
          <c:showVal val="0"/>
          <c:showCatName val="0"/>
          <c:showSerName val="0"/>
          <c:showPercent val="0"/>
          <c:showBubbleSize val="0"/>
        </c:dLbls>
        <c:gapWidth val="150"/>
        <c:axId val="435990664"/>
        <c:axId val="435991056"/>
      </c:barChart>
      <c:catAx>
        <c:axId val="435990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991056"/>
        <c:crosses val="autoZero"/>
        <c:auto val="1"/>
        <c:lblAlgn val="ctr"/>
        <c:lblOffset val="100"/>
        <c:noMultiLvlLbl val="0"/>
      </c:catAx>
      <c:valAx>
        <c:axId val="435991056"/>
        <c:scaling>
          <c:orientation val="minMax"/>
          <c:max val="0.1500000000000000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a:pPr>
                <a:r>
                  <a:rPr lang="en-US"/>
                  <a:t>Sulfate</a:t>
                </a:r>
                <a:r>
                  <a:rPr lang="en-US" baseline="0"/>
                  <a:t> Contributions (</a:t>
                </a:r>
                <a:r>
                  <a:rPr lang="el-GR" sz="1000" b="1" i="0" u="none" strike="noStrike" baseline="0">
                    <a:effectLst/>
                  </a:rPr>
                  <a:t>μ</a:t>
                </a:r>
                <a:r>
                  <a:rPr lang="en-US" sz="1000" b="1" i="0" u="none" strike="noStrike" baseline="0">
                    <a:effectLst/>
                  </a:rPr>
                  <a:t>g/m</a:t>
                </a:r>
                <a:r>
                  <a:rPr lang="en-US" sz="1000" b="1" i="0" u="none" strike="noStrike" baseline="30000">
                    <a:effectLst/>
                  </a:rPr>
                  <a:t>3</a:t>
                </a:r>
                <a:r>
                  <a:rPr lang="en-US" baseline="0"/>
                  <a:t>)</a:t>
                </a:r>
                <a:endParaRPr lang="en-US"/>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990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draftQdC2018SCCStateSummary - 160330.xlsx]2018 State Charts!PivotTable6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2018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B92F6A1-F30E-45AC-A417-CB8BA7890FD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7652F1E-E162-4DD6-A884-F3BDFAAB8E6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006AA7F-9332-408B-A182-6E303AD0FF6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1D76F28-5D4B-4B61-B446-89A30F615D0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9273782-E942-4081-9315-C61C7C91A8A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A9B927-AD87-445A-A44B-01F4C6509AA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2A6A43E-AD47-498D-AD9A-7331632ACB1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462012-DB2D-44A5-A2BF-2B9805313F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48C0E58-C2AB-454C-8953-638BF789832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835254D-7B23-4F5D-B741-BE5E3BDABC4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CD69AD7-FFBF-407F-A02F-622B6B6ACF8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F89E209-EC6E-4DF6-A311-36B6D517181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C2273B5-9CED-4891-91E9-648724091FA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7E81121-B945-40AC-99A5-369BB99D5D2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F9981B5-822A-4BFD-AF40-9B5D0CEDE18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B1F5FB-8CAA-41EF-ABC9-D3643425B3B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1B0048-F04D-43EA-A170-9D569F6BDEA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1CA87E-E502-41F5-8060-AF694651D0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6770F3-A6EB-4988-BF93-85C84E0BF77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9A45E2-0CD6-4238-B3E0-47B3E91664A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32A58BA-C216-450B-98B1-E93EB210960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789D9D-2954-41EE-9295-CA7E0728831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005695-644F-4350-B139-B06D3E395C6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96CD056-2BD6-4171-8ABA-12029EF9472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3CD5D1-968C-497A-91D6-D9CEC0BA7C8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0A7FDC-07F5-4CB1-9391-69F8F4AC6B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899365F-49AE-46EE-BBB4-4C3CF38392C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C45051E-A08F-447D-9CAF-C0255A6FDCC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EDF5BA6-DB23-459B-91D9-8188A66A1D2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9298B3-2547-4720-A53E-D8B8E781385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3D65D27-651B-4EB0-BD30-4E493BBB498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4F5D79-75F1-47EF-BF66-F2941C2BF97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C00C5D3-CDDC-4E3B-B822-3472FBCF582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0D4C31F-AE9B-4248-AB0E-8A3FFF7592B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F53B1A7-7952-46BB-920F-7ABBB9F9F56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3A0D58-1FB8-4A8A-BCEC-EC9BAB87ABC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B38D16-55D5-42F9-B7DF-C1B975D4FA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12943A-27E0-4EF6-9562-75A16B6337B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531084-094A-4552-A2FC-032F875765B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969080-13B5-46DD-9A21-F1A41466F28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824C14-C5A7-4FAC-9E0D-D057420F04D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2AAC98-E19A-44AC-8E1E-3E9FCE7859D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BED4946-9FF5-4C1E-A4B8-328FFBB83C1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1C4262-8158-43B7-86AD-EBDA55F81CE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653542-3AC8-47D4-A0BB-2BD28D2249B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08236DF-E4BF-4FBD-BE4B-E46B7320992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38F649F-8885-4709-999E-1B2EC32D498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2D54C8E-7F80-4872-ABE5-B03BC09AEB0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8CB1B61-D8E5-4BA3-98C1-9E11B4C28F5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2E9C5BD-D1A0-4B07-9CD9-2694144979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3393B9-75B7-4DB9-B863-3AB9D54C7A4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A17951-CE7F-42AB-B4B4-C668C1C069C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43B2CD9-8D08-4387-910C-A9F20B314C0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BF31D9C-46B8-4223-B769-C9E4B1C97C3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6A98DCD-BCE4-4319-AE77-C56C580C83F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C64242-2CBD-48AA-8647-F4A2FFDCD81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E101872-8CB6-460D-9AD6-A7205A048BD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064CA4-1CED-475C-936F-C4359084EDF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ABD541A-0853-4509-8AE2-C11798E3AFB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ECAF0B-9660-4955-86A4-E2C38BFF0B7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71CEB7B-BB83-487D-A23F-33D319F40D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621F4A7-57D3-4A29-9C00-74E1BEA713E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345D316-D896-488C-B646-6C30B33A142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B0A4C1-C2B2-496D-B61C-A7EB13E0F54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5"/>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912F6F-6368-453B-A103-35F067D7A98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EB7617-BF6D-43C3-9D7F-4228F0D852E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1B80E6-6A8D-4827-9F23-DE36FF2A63D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3432781-B3D5-4671-A205-5F560C3BA82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EE67E15-7899-40AF-B6A4-AF17FF02460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1F789D-5242-46C6-B8DF-257FE33E1EF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0693D36-9806-43B9-9362-1063DC36D76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69241F-DC02-4382-B1B3-2AA41F0E5E5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67E066F-0DC0-4E15-8D02-63F0D77DF20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95A211-17B6-4BFB-9ADC-D4A4FB742BA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AD1FF47-4487-4310-865E-9A5651D54E9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782C39-4D5F-4994-80A6-DA4AF63C94B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08B13C5-C7E1-4668-B459-6F1877C9876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4FFF9F4-A842-495D-93AA-BDD16B1776A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5E6F47-2569-40DA-95ED-0946B42B381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FB61FEA-45BC-4C3A-8DDE-30741B2533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3D9B892-576D-4F39-BC79-8D7FA2EE8F3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43877D2-2596-421C-9A0B-4DE8277AEA1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1AC883-1A66-458E-80CD-FF994C740D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56658D4-280E-4126-AE90-E78147719D8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285A0B9-A51B-4373-8735-93A2586A234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0E2C7C-684D-495A-B29E-2CAA4CDD3B5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A70F55-7F98-455E-ADE4-C2854F47B80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93E27C-BE44-47BE-9126-982BD8AE249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3EC5B1-473D-4E97-B9B0-40A9C792ADA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6C879C1-A760-43F1-83FF-76E3A8A12B5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1598D66-9271-4A15-B1D1-BBD5FE593F4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968EC18-D08F-4678-A4FA-0FD30B2F79C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C8999C-310B-44E9-969E-FABDBD162E7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1EAEB1D-1B90-486A-9A01-329F1151096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0B073F-5C72-4054-8E2D-42A5806F8A6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0D6C98-11A5-4606-B2A5-58A7AE5F41F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8"/>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2308323-CBFD-4E24-AC4B-179E6608B7D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54C58A-A2BC-471D-A03F-BA1B027E24A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0C2C030-61DD-4B1F-A4BB-8D54164D5E8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AD06B6F-7E93-474B-8D84-B9FB07040AF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91A0DDC-083E-4DD5-8FF0-1D81335B624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810DD5-B6E2-4185-BA4E-8E0D1E01577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FF9C8F-8510-45F7-9FC7-0B54DA75F6E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919EF26-769D-4071-9BB7-783C959AB96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0A7981C-51E9-43E8-92BC-6C2416E13B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1A7184F-D4FF-4D42-A4A8-4A4DEB821AD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9B45F26-E903-41B0-BA99-57CE2C4692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27D032-59E1-4194-B7BA-1040581D55F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FC74703-C228-43A6-8D45-CD34D3B9DE5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3CDF2F3-E99F-489D-AEB8-1515C60504C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2B284CF-B2D5-4B5B-9F9E-099BECA106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F5A1C61-8359-4136-96EA-4FC1A3E8C74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AC820FC-EAE8-4612-A357-C05E242DC4C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30511C6-CAC3-46E3-B68C-3A27BBC9390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902BF24-A73D-4F63-AC92-122162380CE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B53268-B5E6-4F02-A05C-B78FD116E0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EF1707-A2AC-4F7C-BDB5-EAA2C48B372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B42D499-A519-41DD-8FD4-7703970A89D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76C9A81-26B5-4EBB-AD7E-C384E2BC317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EBC093-C6AC-4F09-A525-205B9980D5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648B44-BC64-46D9-819F-BEE84F03CF5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BEE78B6-7501-4CF2-B6C7-ACA4752E2D6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E3F5A9C-93FC-4CB6-AC5D-5E0FA26678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296C9A-C370-48CF-A794-0F1E3F06BAC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8C75965-931C-492B-941A-495AF3F9A88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B118C8A-2AA5-4808-9A9E-4DB50A556D7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E1A9FCC-99CD-4F09-8B5E-24E86BB1595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350797-CF8C-4F53-BF7C-56792785FB8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'2018 State Charts'!$Z$4</c:f>
              <c:strCache>
                <c:ptCount val="1"/>
                <c:pt idx="0">
                  <c:v>Total</c:v>
                </c:pt>
              </c:strCache>
            </c:strRef>
          </c:tx>
          <c:spPr>
            <a:solidFill>
              <a:schemeClr val="accent2"/>
            </a:solidFill>
            <a:ln>
              <a:noFill/>
            </a:ln>
            <a:effectLst/>
          </c:spPr>
          <c:invertIfNegative val="0"/>
          <c:dLbls>
            <c:dLbl>
              <c:idx val="0"/>
              <c:layout/>
              <c:tx>
                <c:rich>
                  <a:bodyPr/>
                  <a:lstStyle/>
                  <a:p>
                    <a:fld id="{9A552DF3-577B-4E8C-9E0D-24E2B12A22B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a:lstStyle/>
                  <a:p>
                    <a:fld id="{4D840004-3B26-431A-A5A5-AC5F334A7E0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3F93E4DE-23C5-4904-AF79-74D52371D33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9128E03F-83DA-43EF-BFC2-9219D101312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0C46C635-4307-408D-87B6-6CE2F79C603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56D5B364-BE7A-40FE-B318-71EAAFF7BE5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6BC4FAAC-F7D0-4995-9652-47D755859D8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BEBF5466-B3B4-4CD2-B8E5-F8CF1F189D6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a:lstStyle/>
                  <a:p>
                    <a:fld id="{09CE9EEC-1185-4C0C-AC8F-6FA2980D28F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a:lstStyle/>
                  <a:p>
                    <a:fld id="{A004FC10-2A1B-42C1-B51B-161CF05DC3A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a:lstStyle/>
                  <a:p>
                    <a:fld id="{4F9AEF5F-D6D6-443F-A25E-B287DFDD937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a:lstStyle/>
                  <a:p>
                    <a:fld id="{F05152E2-095F-40EE-A461-C8AE3A95647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a:lstStyle/>
                  <a:p>
                    <a:fld id="{CB7B5F05-083B-401A-BBC2-5989DFAD667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a:lstStyle/>
                  <a:p>
                    <a:fld id="{3390A66B-423F-4ACC-A409-73A9B116D6E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a:lstStyle/>
                  <a:p>
                    <a:fld id="{CAEE4E48-F281-4363-BA7F-A2B59823FDC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a:lstStyle/>
                  <a:p>
                    <a:fld id="{E5979EDD-D03D-42D1-8E79-CA7EC434B84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a:lstStyle/>
                  <a:p>
                    <a:fld id="{3AE2CB2E-4638-4C30-9E8A-A1CA7F4BB41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a:lstStyle/>
                  <a:p>
                    <a:fld id="{5DA33A9B-B2E2-4149-974E-4744DD16D44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a:lstStyle/>
                  <a:p>
                    <a:fld id="{E18BB47F-E0A4-44AD-B2DA-ED9418DBFE0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a:lstStyle/>
                  <a:p>
                    <a:fld id="{3ECCDB1A-175A-4F1B-A035-46F46D72664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a:lstStyle/>
                  <a:p>
                    <a:fld id="{6344F7AC-7A13-4699-B068-8ADAAA7CABB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a:lstStyle/>
                  <a:p>
                    <a:fld id="{FC25944E-460B-409D-84E1-5D5939AD81E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a:lstStyle/>
                  <a:p>
                    <a:fld id="{AA292C92-2287-49FF-A3BB-5E1D1F44D37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a:lstStyle/>
                  <a:p>
                    <a:fld id="{C2E54009-FC80-48E8-A695-4CEAAD26B62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a:lstStyle/>
                  <a:p>
                    <a:fld id="{16FDCDD1-2B5D-41D2-9FED-17A6D9BE7E7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a:lstStyle/>
                  <a:p>
                    <a:fld id="{FB04722A-A3B1-4DC8-9162-0DAC6C203D5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a:lstStyle/>
                  <a:p>
                    <a:fld id="{14CF4EB6-CCBD-422E-A2A7-08D64463BFC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a:lstStyle/>
                  <a:p>
                    <a:fld id="{7D90F013-EC0F-4F1F-8413-C5CF42E4709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a:lstStyle/>
                  <a:p>
                    <a:fld id="{0CE7202D-C000-4A1B-AFC8-1B94D41205F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a:lstStyle/>
                  <a:p>
                    <a:fld id="{0F2734AA-222F-42E3-BA44-AD97087DB31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a:lstStyle/>
                  <a:p>
                    <a:fld id="{F41841FA-ED99-4B1D-88E5-F2598BFDAA1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1"/>
              <c:layout/>
              <c:tx>
                <c:rich>
                  <a:bodyPr/>
                  <a:lstStyle/>
                  <a:p>
                    <a:fld id="{064B68AF-313C-4ECE-B9D1-01864881920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'2018 State Charts'!$AB$5:$AB$36</c:f>
              <c:strCache>
                <c:ptCount val="32"/>
                <c:pt idx="0">
                  <c:v>RI</c:v>
                </c:pt>
                <c:pt idx="1">
                  <c:v>DC</c:v>
                </c:pt>
                <c:pt idx="2">
                  <c:v>VT</c:v>
                </c:pt>
                <c:pt idx="3">
                  <c:v>CT</c:v>
                </c:pt>
                <c:pt idx="4">
                  <c:v>DE</c:v>
                </c:pt>
                <c:pt idx="5">
                  <c:v>MN</c:v>
                </c:pt>
                <c:pt idx="6">
                  <c:v>MA</c:v>
                </c:pt>
                <c:pt idx="7">
                  <c:v>NJ</c:v>
                </c:pt>
                <c:pt idx="8">
                  <c:v>NH</c:v>
                </c:pt>
                <c:pt idx="9">
                  <c:v>SC</c:v>
                </c:pt>
                <c:pt idx="10">
                  <c:v>VA</c:v>
                </c:pt>
                <c:pt idx="11">
                  <c:v>GA</c:v>
                </c:pt>
                <c:pt idx="12">
                  <c:v>IA</c:v>
                </c:pt>
                <c:pt idx="13">
                  <c:v>MS</c:v>
                </c:pt>
                <c:pt idx="14">
                  <c:v>ME</c:v>
                </c:pt>
                <c:pt idx="15">
                  <c:v>WI</c:v>
                </c:pt>
                <c:pt idx="16">
                  <c:v>AL</c:v>
                </c:pt>
                <c:pt idx="17">
                  <c:v>NC</c:v>
                </c:pt>
                <c:pt idx="18">
                  <c:v>TN</c:v>
                </c:pt>
                <c:pt idx="19">
                  <c:v>LA</c:v>
                </c:pt>
                <c:pt idx="20">
                  <c:v>AR</c:v>
                </c:pt>
                <c:pt idx="21">
                  <c:v>MD</c:v>
                </c:pt>
                <c:pt idx="22">
                  <c:v>NY</c:v>
                </c:pt>
                <c:pt idx="23">
                  <c:v>WV</c:v>
                </c:pt>
                <c:pt idx="24">
                  <c:v>KY</c:v>
                </c:pt>
                <c:pt idx="25">
                  <c:v>MI</c:v>
                </c:pt>
                <c:pt idx="26">
                  <c:v>IL</c:v>
                </c:pt>
                <c:pt idx="27">
                  <c:v>IN</c:v>
                </c:pt>
                <c:pt idx="28">
                  <c:v>MO</c:v>
                </c:pt>
                <c:pt idx="29">
                  <c:v>TX</c:v>
                </c:pt>
                <c:pt idx="30">
                  <c:v>OH</c:v>
                </c:pt>
                <c:pt idx="31">
                  <c:v>PA</c:v>
                </c:pt>
              </c:strCache>
            </c:strRef>
          </c:cat>
          <c:val>
            <c:numRef>
              <c:f>'2018 State Charts'!$AB$5:$AB$36</c:f>
              <c:numCache>
                <c:formatCode>General</c:formatCode>
                <c:ptCount val="32"/>
                <c:pt idx="0">
                  <c:v>8.123397876055737E-5</c:v>
                </c:pt>
                <c:pt idx="1">
                  <c:v>1.152804325607445E-4</c:v>
                </c:pt>
                <c:pt idx="2">
                  <c:v>1.7010091787471161E-4</c:v>
                </c:pt>
                <c:pt idx="3">
                  <c:v>2.3968377973106246E-4</c:v>
                </c:pt>
                <c:pt idx="4">
                  <c:v>5.7649996186994281E-4</c:v>
                </c:pt>
                <c:pt idx="5">
                  <c:v>7.6677162829154549E-4</c:v>
                </c:pt>
                <c:pt idx="6">
                  <c:v>9.2701271435020655E-4</c:v>
                </c:pt>
                <c:pt idx="7">
                  <c:v>9.6763034549824376E-4</c:v>
                </c:pt>
                <c:pt idx="8">
                  <c:v>1.951851928527806E-3</c:v>
                </c:pt>
                <c:pt idx="9">
                  <c:v>2.4999536072844164E-3</c:v>
                </c:pt>
                <c:pt idx="10">
                  <c:v>2.528683982655466E-3</c:v>
                </c:pt>
                <c:pt idx="11">
                  <c:v>2.747339141016348E-3</c:v>
                </c:pt>
                <c:pt idx="12">
                  <c:v>3.0388423089657483E-3</c:v>
                </c:pt>
                <c:pt idx="13">
                  <c:v>3.4182388977675015E-3</c:v>
                </c:pt>
                <c:pt idx="14">
                  <c:v>3.537842588092849E-3</c:v>
                </c:pt>
                <c:pt idx="15">
                  <c:v>3.6848290710852077E-3</c:v>
                </c:pt>
                <c:pt idx="16">
                  <c:v>4.4312884357448155E-3</c:v>
                </c:pt>
                <c:pt idx="17">
                  <c:v>4.8063539062332215E-3</c:v>
                </c:pt>
                <c:pt idx="18">
                  <c:v>5.4635949005390518E-3</c:v>
                </c:pt>
                <c:pt idx="19">
                  <c:v>6.3180630348828393E-3</c:v>
                </c:pt>
                <c:pt idx="20">
                  <c:v>7.4585131348041582E-3</c:v>
                </c:pt>
                <c:pt idx="21">
                  <c:v>8.5138821405371778E-3</c:v>
                </c:pt>
                <c:pt idx="22">
                  <c:v>8.5504133316040235E-3</c:v>
                </c:pt>
                <c:pt idx="23">
                  <c:v>8.9942249397703816E-3</c:v>
                </c:pt>
                <c:pt idx="24">
                  <c:v>1.4469604087035813E-2</c:v>
                </c:pt>
                <c:pt idx="25">
                  <c:v>1.6059114484630821E-2</c:v>
                </c:pt>
                <c:pt idx="26">
                  <c:v>1.6092880078549813E-2</c:v>
                </c:pt>
                <c:pt idx="27">
                  <c:v>2.0456655540710699E-2</c:v>
                </c:pt>
                <c:pt idx="28">
                  <c:v>2.2944444409851168E-2</c:v>
                </c:pt>
                <c:pt idx="29">
                  <c:v>2.6577805570942178E-2</c:v>
                </c:pt>
                <c:pt idx="30">
                  <c:v>2.7755022408220295E-2</c:v>
                </c:pt>
                <c:pt idx="31">
                  <c:v>2.777388555616251E-2</c:v>
                </c:pt>
              </c:numCache>
            </c:numRef>
          </c:val>
          <c:extLst>
            <c:ext xmlns:c15="http://schemas.microsoft.com/office/drawing/2012/chart" uri="{02D57815-91ED-43cb-92C2-25804820EDAC}">
              <c15:datalabelsRange>
                <c15:f>'2018 State Charts'!$AB$5:$AB$36</c15:f>
                <c15:dlblRangeCache>
                  <c:ptCount val="32"/>
                  <c:pt idx="0">
                    <c:v>0.03%</c:v>
                  </c:pt>
                  <c:pt idx="1">
                    <c:v>0.05%</c:v>
                  </c:pt>
                  <c:pt idx="2">
                    <c:v>0.07%</c:v>
                  </c:pt>
                  <c:pt idx="3">
                    <c:v>0.09%</c:v>
                  </c:pt>
                  <c:pt idx="4">
                    <c:v>0.23%</c:v>
                  </c:pt>
                  <c:pt idx="5">
                    <c:v>0.30%</c:v>
                  </c:pt>
                  <c:pt idx="6">
                    <c:v>0.37%</c:v>
                  </c:pt>
                  <c:pt idx="7">
                    <c:v>0.38%</c:v>
                  </c:pt>
                  <c:pt idx="8">
                    <c:v>0.77%</c:v>
                  </c:pt>
                  <c:pt idx="9">
                    <c:v>0.98%</c:v>
                  </c:pt>
                  <c:pt idx="10">
                    <c:v>1.00%</c:v>
                  </c:pt>
                  <c:pt idx="11">
                    <c:v>1.08%</c:v>
                  </c:pt>
                  <c:pt idx="12">
                    <c:v>1.20%</c:v>
                  </c:pt>
                  <c:pt idx="13">
                    <c:v>1.35%</c:v>
                  </c:pt>
                  <c:pt idx="14">
                    <c:v>1.39%</c:v>
                  </c:pt>
                  <c:pt idx="15">
                    <c:v>1.45%</c:v>
                  </c:pt>
                  <c:pt idx="16">
                    <c:v>1.75%</c:v>
                  </c:pt>
                  <c:pt idx="17">
                    <c:v>1.89%</c:v>
                  </c:pt>
                  <c:pt idx="18">
                    <c:v>2.15%</c:v>
                  </c:pt>
                  <c:pt idx="19">
                    <c:v>2.49%</c:v>
                  </c:pt>
                  <c:pt idx="20">
                    <c:v>2.94%</c:v>
                  </c:pt>
                  <c:pt idx="21">
                    <c:v>3.35%</c:v>
                  </c:pt>
                  <c:pt idx="22">
                    <c:v>3.37%</c:v>
                  </c:pt>
                  <c:pt idx="23">
                    <c:v>3.54%</c:v>
                  </c:pt>
                  <c:pt idx="24">
                    <c:v>5.70%</c:v>
                  </c:pt>
                  <c:pt idx="25">
                    <c:v>6.32%</c:v>
                  </c:pt>
                  <c:pt idx="26">
                    <c:v>6.34%</c:v>
                  </c:pt>
                  <c:pt idx="27">
                    <c:v>8.06%</c:v>
                  </c:pt>
                  <c:pt idx="28">
                    <c:v>9.04%</c:v>
                  </c:pt>
                  <c:pt idx="29">
                    <c:v>10.47%</c:v>
                  </c:pt>
                  <c:pt idx="30">
                    <c:v>10.93%</c:v>
                  </c:pt>
                  <c:pt idx="31">
                    <c:v>10.94%</c:v>
                  </c:pt>
                </c15:dlblRangeCache>
              </c15:datalabelsRange>
            </c:ext>
          </c:extLst>
        </c:ser>
        <c:dLbls>
          <c:showLegendKey val="0"/>
          <c:showVal val="0"/>
          <c:showCatName val="0"/>
          <c:showSerName val="0"/>
          <c:showPercent val="0"/>
          <c:showBubbleSize val="0"/>
        </c:dLbls>
        <c:gapWidth val="182"/>
        <c:axId val="435992232"/>
        <c:axId val="435992624"/>
      </c:barChart>
      <c:catAx>
        <c:axId val="435992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992624"/>
        <c:crosses val="autoZero"/>
        <c:auto val="1"/>
        <c:lblAlgn val="ctr"/>
        <c:lblOffset val="100"/>
        <c:tickLblSkip val="1"/>
        <c:noMultiLvlLbl val="0"/>
      </c:catAx>
      <c:valAx>
        <c:axId val="435992624"/>
        <c:scaling>
          <c:orientation val="minMax"/>
          <c:max val="0.1500000000000000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Sulfate Contributions (</a:t>
                </a:r>
                <a:r>
                  <a:rPr lang="el-GR" sz="1000" b="1" i="0" u="none" strike="noStrike" baseline="0">
                    <a:effectLst/>
                  </a:rPr>
                  <a:t>μ</a:t>
                </a:r>
                <a:r>
                  <a:rPr lang="en-US" sz="1000" b="1" i="0" u="none" strike="noStrike" baseline="0">
                    <a:effectLst/>
                  </a:rPr>
                  <a:t>g/m</a:t>
                </a:r>
                <a:r>
                  <a:rPr lang="en-US" sz="1000" b="1" i="0" u="none" strike="noStrike" baseline="30000">
                    <a:effectLst/>
                  </a:rPr>
                  <a:t>3</a:t>
                </a:r>
                <a:r>
                  <a:rPr lang="en-US" b="1"/>
                  <a:t>)</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992232"/>
        <c:crosses val="autoZero"/>
        <c:crossBetween val="between"/>
        <c:min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draftQdC2018SCCStateSummary - 160330.xlsx]Sector Summary!PivotTable1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s>
    <c:plotArea>
      <c:layout/>
      <c:barChart>
        <c:barDir val="col"/>
        <c:grouping val="stacked"/>
        <c:varyColors val="0"/>
        <c:ser>
          <c:idx val="0"/>
          <c:order val="0"/>
          <c:tx>
            <c:strRef>
              <c:f>'Sector Summary'!$B$3</c:f>
              <c:strCache>
                <c:ptCount val="1"/>
                <c:pt idx="0">
                  <c:v>ERTAC EGUs</c:v>
                </c:pt>
              </c:strCache>
            </c:strRef>
          </c:tx>
          <c:spPr>
            <a:solidFill>
              <a:schemeClr val="accent1"/>
            </a:solidFill>
            <a:ln>
              <a:noFill/>
            </a:ln>
            <a:effectLst/>
          </c:spPr>
          <c:invertIfNegative val="0"/>
          <c:cat>
            <c:strRef>
              <c:f>'Sector Summary'!$A$4:$A$11</c:f>
              <c:strCache>
                <c:ptCount val="8"/>
                <c:pt idx="0">
                  <c:v>Acadia</c:v>
                </c:pt>
                <c:pt idx="1">
                  <c:v>Brigantine</c:v>
                </c:pt>
                <c:pt idx="2">
                  <c:v>Dolly Sods</c:v>
                </c:pt>
                <c:pt idx="3">
                  <c:v>Great Gulf</c:v>
                </c:pt>
                <c:pt idx="4">
                  <c:v>James River Face</c:v>
                </c:pt>
                <c:pt idx="5">
                  <c:v>Lye Brook</c:v>
                </c:pt>
                <c:pt idx="6">
                  <c:v>Moosehorn</c:v>
                </c:pt>
                <c:pt idx="7">
                  <c:v>Shenandoah</c:v>
                </c:pt>
              </c:strCache>
            </c:strRef>
          </c:cat>
          <c:val>
            <c:numRef>
              <c:f>'Sector Summary'!$B$4:$B$11</c:f>
              <c:numCache>
                <c:formatCode>General</c:formatCode>
                <c:ptCount val="8"/>
                <c:pt idx="0">
                  <c:v>0.2100831682649367</c:v>
                </c:pt>
                <c:pt idx="1">
                  <c:v>0.31999370164403618</c:v>
                </c:pt>
                <c:pt idx="2">
                  <c:v>0.42932313555733376</c:v>
                </c:pt>
                <c:pt idx="3">
                  <c:v>0.16394069874567682</c:v>
                </c:pt>
                <c:pt idx="4">
                  <c:v>0.34721511285995832</c:v>
                </c:pt>
                <c:pt idx="5">
                  <c:v>0.2333250118303663</c:v>
                </c:pt>
                <c:pt idx="6">
                  <c:v>0.18508028189938555</c:v>
                </c:pt>
                <c:pt idx="7">
                  <c:v>0.36220888281182212</c:v>
                </c:pt>
              </c:numCache>
            </c:numRef>
          </c:val>
        </c:ser>
        <c:ser>
          <c:idx val="1"/>
          <c:order val="1"/>
          <c:tx>
            <c:strRef>
              <c:f>'Sector Summary'!$C$3</c:f>
              <c:strCache>
                <c:ptCount val="1"/>
                <c:pt idx="0">
                  <c:v>Non-EGU</c:v>
                </c:pt>
              </c:strCache>
            </c:strRef>
          </c:tx>
          <c:spPr>
            <a:solidFill>
              <a:schemeClr val="accent2"/>
            </a:solidFill>
            <a:ln>
              <a:noFill/>
            </a:ln>
            <a:effectLst/>
          </c:spPr>
          <c:invertIfNegative val="0"/>
          <c:cat>
            <c:strRef>
              <c:f>'Sector Summary'!$A$4:$A$11</c:f>
              <c:strCache>
                <c:ptCount val="8"/>
                <c:pt idx="0">
                  <c:v>Acadia</c:v>
                </c:pt>
                <c:pt idx="1">
                  <c:v>Brigantine</c:v>
                </c:pt>
                <c:pt idx="2">
                  <c:v>Dolly Sods</c:v>
                </c:pt>
                <c:pt idx="3">
                  <c:v>Great Gulf</c:v>
                </c:pt>
                <c:pt idx="4">
                  <c:v>James River Face</c:v>
                </c:pt>
                <c:pt idx="5">
                  <c:v>Lye Brook</c:v>
                </c:pt>
                <c:pt idx="6">
                  <c:v>Moosehorn</c:v>
                </c:pt>
                <c:pt idx="7">
                  <c:v>Shenandoah</c:v>
                </c:pt>
              </c:strCache>
            </c:strRef>
          </c:cat>
          <c:val>
            <c:numRef>
              <c:f>'Sector Summary'!$C$4:$C$11</c:f>
              <c:numCache>
                <c:formatCode>General</c:formatCode>
                <c:ptCount val="8"/>
                <c:pt idx="0">
                  <c:v>6.9155158355945906E-2</c:v>
                </c:pt>
                <c:pt idx="1">
                  <c:v>9.1806647647108081E-2</c:v>
                </c:pt>
                <c:pt idx="2">
                  <c:v>0.13817610311625378</c:v>
                </c:pt>
                <c:pt idx="3">
                  <c:v>4.8917606279454261E-2</c:v>
                </c:pt>
                <c:pt idx="4">
                  <c:v>0.10728630907044467</c:v>
                </c:pt>
                <c:pt idx="5">
                  <c:v>7.0381435343787324E-2</c:v>
                </c:pt>
                <c:pt idx="6">
                  <c:v>5.4355583101317231E-2</c:v>
                </c:pt>
                <c:pt idx="7">
                  <c:v>0.11124238436766631</c:v>
                </c:pt>
              </c:numCache>
            </c:numRef>
          </c:val>
        </c:ser>
        <c:ser>
          <c:idx val="2"/>
          <c:order val="2"/>
          <c:tx>
            <c:strRef>
              <c:f>'Sector Summary'!$D$3</c:f>
              <c:strCache>
                <c:ptCount val="1"/>
                <c:pt idx="0">
                  <c:v>Small EGUs</c:v>
                </c:pt>
              </c:strCache>
            </c:strRef>
          </c:tx>
          <c:spPr>
            <a:solidFill>
              <a:schemeClr val="accent3"/>
            </a:solidFill>
            <a:ln>
              <a:noFill/>
            </a:ln>
            <a:effectLst/>
          </c:spPr>
          <c:invertIfNegative val="0"/>
          <c:cat>
            <c:strRef>
              <c:f>'Sector Summary'!$A$4:$A$11</c:f>
              <c:strCache>
                <c:ptCount val="8"/>
                <c:pt idx="0">
                  <c:v>Acadia</c:v>
                </c:pt>
                <c:pt idx="1">
                  <c:v>Brigantine</c:v>
                </c:pt>
                <c:pt idx="2">
                  <c:v>Dolly Sods</c:v>
                </c:pt>
                <c:pt idx="3">
                  <c:v>Great Gulf</c:v>
                </c:pt>
                <c:pt idx="4">
                  <c:v>James River Face</c:v>
                </c:pt>
                <c:pt idx="5">
                  <c:v>Lye Brook</c:v>
                </c:pt>
                <c:pt idx="6">
                  <c:v>Moosehorn</c:v>
                </c:pt>
                <c:pt idx="7">
                  <c:v>Shenandoah</c:v>
                </c:pt>
              </c:strCache>
            </c:strRef>
          </c:cat>
          <c:val>
            <c:numRef>
              <c:f>'Sector Summary'!$D$4:$D$11</c:f>
              <c:numCache>
                <c:formatCode>General</c:formatCode>
                <c:ptCount val="8"/>
                <c:pt idx="0">
                  <c:v>1.5600708138745209E-2</c:v>
                </c:pt>
                <c:pt idx="1">
                  <c:v>2.3251973358813856E-2</c:v>
                </c:pt>
                <c:pt idx="2">
                  <c:v>3.0142303902989963E-2</c:v>
                </c:pt>
                <c:pt idx="3">
                  <c:v>1.1302884974284612E-2</c:v>
                </c:pt>
                <c:pt idx="4">
                  <c:v>2.6771473000791673E-2</c:v>
                </c:pt>
                <c:pt idx="5">
                  <c:v>1.4906265272781395E-2</c:v>
                </c:pt>
                <c:pt idx="6">
                  <c:v>1.2323711340645692E-2</c:v>
                </c:pt>
                <c:pt idx="7">
                  <c:v>2.8078002331929173E-2</c:v>
                </c:pt>
              </c:numCache>
            </c:numRef>
          </c:val>
        </c:ser>
        <c:ser>
          <c:idx val="3"/>
          <c:order val="3"/>
          <c:tx>
            <c:strRef>
              <c:f>'Sector Summary'!$E$3</c:f>
              <c:strCache>
                <c:ptCount val="1"/>
                <c:pt idx="0">
                  <c:v>Oil/Gas</c:v>
                </c:pt>
              </c:strCache>
            </c:strRef>
          </c:tx>
          <c:spPr>
            <a:solidFill>
              <a:schemeClr val="accent4"/>
            </a:solidFill>
            <a:ln>
              <a:noFill/>
            </a:ln>
            <a:effectLst/>
          </c:spPr>
          <c:invertIfNegative val="0"/>
          <c:cat>
            <c:strRef>
              <c:f>'Sector Summary'!$A$4:$A$11</c:f>
              <c:strCache>
                <c:ptCount val="8"/>
                <c:pt idx="0">
                  <c:v>Acadia</c:v>
                </c:pt>
                <c:pt idx="1">
                  <c:v>Brigantine</c:v>
                </c:pt>
                <c:pt idx="2">
                  <c:v>Dolly Sods</c:v>
                </c:pt>
                <c:pt idx="3">
                  <c:v>Great Gulf</c:v>
                </c:pt>
                <c:pt idx="4">
                  <c:v>James River Face</c:v>
                </c:pt>
                <c:pt idx="5">
                  <c:v>Lye Brook</c:v>
                </c:pt>
                <c:pt idx="6">
                  <c:v>Moosehorn</c:v>
                </c:pt>
                <c:pt idx="7">
                  <c:v>Shenandoah</c:v>
                </c:pt>
              </c:strCache>
            </c:strRef>
          </c:cat>
          <c:val>
            <c:numRef>
              <c:f>'Sector Summary'!$E$4:$E$11</c:f>
              <c:numCache>
                <c:formatCode>General</c:formatCode>
                <c:ptCount val="8"/>
                <c:pt idx="0">
                  <c:v>2.6590536064478804E-3</c:v>
                </c:pt>
                <c:pt idx="1">
                  <c:v>3.6286097872926639E-3</c:v>
                </c:pt>
                <c:pt idx="2">
                  <c:v>3.9353690187718046E-3</c:v>
                </c:pt>
                <c:pt idx="3">
                  <c:v>1.8659966690263178E-3</c:v>
                </c:pt>
                <c:pt idx="4">
                  <c:v>4.3029513098778414E-3</c:v>
                </c:pt>
                <c:pt idx="5">
                  <c:v>2.7648490644641508E-3</c:v>
                </c:pt>
                <c:pt idx="6">
                  <c:v>2.1565038515535253E-3</c:v>
                </c:pt>
                <c:pt idx="7">
                  <c:v>3.7115797038655323E-3</c:v>
                </c:pt>
              </c:numCache>
            </c:numRef>
          </c:val>
        </c:ser>
        <c:ser>
          <c:idx val="4"/>
          <c:order val="4"/>
          <c:tx>
            <c:strRef>
              <c:f>'Sector Summary'!$F$3</c:f>
              <c:strCache>
                <c:ptCount val="1"/>
                <c:pt idx="0">
                  <c:v>Ethanol</c:v>
                </c:pt>
              </c:strCache>
            </c:strRef>
          </c:tx>
          <c:spPr>
            <a:solidFill>
              <a:srgbClr val="FF0000"/>
            </a:solidFill>
            <a:ln>
              <a:noFill/>
            </a:ln>
            <a:effectLst/>
          </c:spPr>
          <c:invertIfNegative val="0"/>
          <c:cat>
            <c:strRef>
              <c:f>'Sector Summary'!$A$4:$A$11</c:f>
              <c:strCache>
                <c:ptCount val="8"/>
                <c:pt idx="0">
                  <c:v>Acadia</c:v>
                </c:pt>
                <c:pt idx="1">
                  <c:v>Brigantine</c:v>
                </c:pt>
                <c:pt idx="2">
                  <c:v>Dolly Sods</c:v>
                </c:pt>
                <c:pt idx="3">
                  <c:v>Great Gulf</c:v>
                </c:pt>
                <c:pt idx="4">
                  <c:v>James River Face</c:v>
                </c:pt>
                <c:pt idx="5">
                  <c:v>Lye Brook</c:v>
                </c:pt>
                <c:pt idx="6">
                  <c:v>Moosehorn</c:v>
                </c:pt>
                <c:pt idx="7">
                  <c:v>Shenandoah</c:v>
                </c:pt>
              </c:strCache>
            </c:strRef>
          </c:cat>
          <c:val>
            <c:numRef>
              <c:f>'Sector Summary'!$F$4:$F$11</c:f>
              <c:numCache>
                <c:formatCode>General</c:formatCode>
                <c:ptCount val="8"/>
                <c:pt idx="0">
                  <c:v>1.5497150339174497E-6</c:v>
                </c:pt>
                <c:pt idx="1">
                  <c:v>1.3944363271522727E-6</c:v>
                </c:pt>
                <c:pt idx="2">
                  <c:v>1.9073569545021348E-6</c:v>
                </c:pt>
                <c:pt idx="3">
                  <c:v>1.4038539280124766E-6</c:v>
                </c:pt>
                <c:pt idx="4">
                  <c:v>1.747638842241478E-6</c:v>
                </c:pt>
                <c:pt idx="5">
                  <c:v>1.848691883127076E-6</c:v>
                </c:pt>
                <c:pt idx="6">
                  <c:v>1.4325702856626906E-6</c:v>
                </c:pt>
                <c:pt idx="7">
                  <c:v>1.6718144372233336E-6</c:v>
                </c:pt>
              </c:numCache>
            </c:numRef>
          </c:val>
        </c:ser>
        <c:ser>
          <c:idx val="5"/>
          <c:order val="5"/>
          <c:tx>
            <c:strRef>
              <c:f>'Sector Summary'!$G$3</c:f>
              <c:strCache>
                <c:ptCount val="1"/>
                <c:pt idx="0">
                  <c:v>Refueling</c:v>
                </c:pt>
              </c:strCache>
            </c:strRef>
          </c:tx>
          <c:spPr>
            <a:solidFill>
              <a:schemeClr val="accent6"/>
            </a:solidFill>
            <a:ln>
              <a:noFill/>
            </a:ln>
            <a:effectLst/>
          </c:spPr>
          <c:invertIfNegative val="0"/>
          <c:cat>
            <c:strRef>
              <c:f>'Sector Summary'!$A$4:$A$11</c:f>
              <c:strCache>
                <c:ptCount val="8"/>
                <c:pt idx="0">
                  <c:v>Acadia</c:v>
                </c:pt>
                <c:pt idx="1">
                  <c:v>Brigantine</c:v>
                </c:pt>
                <c:pt idx="2">
                  <c:v>Dolly Sods</c:v>
                </c:pt>
                <c:pt idx="3">
                  <c:v>Great Gulf</c:v>
                </c:pt>
                <c:pt idx="4">
                  <c:v>James River Face</c:v>
                </c:pt>
                <c:pt idx="5">
                  <c:v>Lye Brook</c:v>
                </c:pt>
                <c:pt idx="6">
                  <c:v>Moosehorn</c:v>
                </c:pt>
                <c:pt idx="7">
                  <c:v>Shenandoah</c:v>
                </c:pt>
              </c:strCache>
            </c:strRef>
          </c:cat>
          <c:val>
            <c:numRef>
              <c:f>'Sector Summary'!$G$4:$G$11</c:f>
              <c:numCache>
                <c:formatCode>General</c:formatCode>
                <c:ptCount val="8"/>
                <c:pt idx="0">
                  <c:v>2.75885135246474E-8</c:v>
                </c:pt>
                <c:pt idx="1">
                  <c:v>2.5548857935854665E-8</c:v>
                </c:pt>
                <c:pt idx="2">
                  <c:v>3.7742328938779275E-8</c:v>
                </c:pt>
                <c:pt idx="3">
                  <c:v>2.246719611468096E-8</c:v>
                </c:pt>
                <c:pt idx="4">
                  <c:v>3.7737595800656117E-8</c:v>
                </c:pt>
                <c:pt idx="5">
                  <c:v>2.5179681932477881E-8</c:v>
                </c:pt>
                <c:pt idx="6">
                  <c:v>2.8481363685664401E-8</c:v>
                </c:pt>
                <c:pt idx="7">
                  <c:v>3.3305867973901676E-8</c:v>
                </c:pt>
              </c:numCache>
            </c:numRef>
          </c:val>
        </c:ser>
        <c:dLbls>
          <c:showLegendKey val="0"/>
          <c:showVal val="0"/>
          <c:showCatName val="0"/>
          <c:showSerName val="0"/>
          <c:showPercent val="0"/>
          <c:showBubbleSize val="0"/>
        </c:dLbls>
        <c:gapWidth val="51"/>
        <c:overlap val="100"/>
        <c:axId val="435991448"/>
        <c:axId val="435993016"/>
      </c:barChart>
      <c:catAx>
        <c:axId val="43599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993016"/>
        <c:crosses val="autoZero"/>
        <c:auto val="1"/>
        <c:lblAlgn val="ctr"/>
        <c:lblOffset val="100"/>
        <c:noMultiLvlLbl val="0"/>
      </c:catAx>
      <c:valAx>
        <c:axId val="4359930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Sulfate</a:t>
                </a:r>
                <a:r>
                  <a:rPr lang="en-US" baseline="0"/>
                  <a:t> Contribution (</a:t>
                </a:r>
                <a:r>
                  <a:rPr lang="el-GR" sz="1000" b="0" i="0" u="none" strike="noStrike" baseline="0">
                    <a:effectLst/>
                  </a:rPr>
                  <a:t>μ</a:t>
                </a:r>
                <a:r>
                  <a:rPr lang="en-US" sz="1000" b="0" i="0" u="none" strike="noStrike" baseline="0">
                    <a:effectLst/>
                  </a:rPr>
                  <a:t>g/m</a:t>
                </a:r>
                <a:r>
                  <a:rPr lang="en-US" sz="1000" b="0" i="0" u="none" strike="noStrike" baseline="30000">
                    <a:effectLst/>
                  </a:rPr>
                  <a:t>3</a:t>
                </a:r>
                <a:r>
                  <a:rPr lang="en-US" baseline="0"/>
                  <a:t>)</a:t>
                </a:r>
                <a:endParaRPr lang="en-U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991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[draftQdC2018SCCStateSummary.xlsx]Sector Summary!PivotTable3</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s>
    <c:plotArea>
      <c:layout/>
      <c:barChart>
        <c:barDir val="col"/>
        <c:grouping val="percentStacked"/>
        <c:varyColors val="0"/>
        <c:ser>
          <c:idx val="0"/>
          <c:order val="0"/>
          <c:tx>
            <c:strRef>
              <c:f>'Sector Summary'!$I$3</c:f>
              <c:strCache>
                <c:ptCount val="1"/>
                <c:pt idx="0">
                  <c:v>ERTAC EGUs</c:v>
                </c:pt>
              </c:strCache>
            </c:strRef>
          </c:tx>
          <c:spPr>
            <a:solidFill>
              <a:schemeClr val="accent1"/>
            </a:solidFill>
            <a:ln>
              <a:noFill/>
            </a:ln>
            <a:effectLst/>
          </c:spPr>
          <c:invertIfNegative val="0"/>
          <c:cat>
            <c:strRef>
              <c:f>'Sector Summary'!$H$4:$H$11</c:f>
              <c:strCache>
                <c:ptCount val="8"/>
                <c:pt idx="0">
                  <c:v>Acadia</c:v>
                </c:pt>
                <c:pt idx="1">
                  <c:v>Brigantine</c:v>
                </c:pt>
                <c:pt idx="2">
                  <c:v>Dolly Sods</c:v>
                </c:pt>
                <c:pt idx="3">
                  <c:v>Great Gulf</c:v>
                </c:pt>
                <c:pt idx="4">
                  <c:v>James River Face</c:v>
                </c:pt>
                <c:pt idx="5">
                  <c:v>Lye Brook</c:v>
                </c:pt>
                <c:pt idx="6">
                  <c:v>Moosehorn</c:v>
                </c:pt>
                <c:pt idx="7">
                  <c:v>Shenandoah</c:v>
                </c:pt>
              </c:strCache>
            </c:strRef>
          </c:cat>
          <c:val>
            <c:numRef>
              <c:f>'Sector Summary'!$I$4:$I$11</c:f>
              <c:numCache>
                <c:formatCode>General</c:formatCode>
                <c:ptCount val="8"/>
                <c:pt idx="0">
                  <c:v>0.2100831682649367</c:v>
                </c:pt>
                <c:pt idx="1">
                  <c:v>0.31999370164403618</c:v>
                </c:pt>
                <c:pt idx="2">
                  <c:v>0.42932313555733376</c:v>
                </c:pt>
                <c:pt idx="3">
                  <c:v>0.16394069874567682</c:v>
                </c:pt>
                <c:pt idx="4">
                  <c:v>0.34721511285995832</c:v>
                </c:pt>
                <c:pt idx="5">
                  <c:v>0.2333250118303663</c:v>
                </c:pt>
                <c:pt idx="6">
                  <c:v>0.18508028189938555</c:v>
                </c:pt>
                <c:pt idx="7">
                  <c:v>0.36220888281182212</c:v>
                </c:pt>
              </c:numCache>
            </c:numRef>
          </c:val>
        </c:ser>
        <c:ser>
          <c:idx val="1"/>
          <c:order val="1"/>
          <c:tx>
            <c:strRef>
              <c:f>'Sector Summary'!$J$3</c:f>
              <c:strCache>
                <c:ptCount val="1"/>
                <c:pt idx="0">
                  <c:v>Non-EGU</c:v>
                </c:pt>
              </c:strCache>
            </c:strRef>
          </c:tx>
          <c:spPr>
            <a:solidFill>
              <a:schemeClr val="accent2"/>
            </a:solidFill>
            <a:ln>
              <a:noFill/>
            </a:ln>
            <a:effectLst/>
          </c:spPr>
          <c:invertIfNegative val="0"/>
          <c:cat>
            <c:strRef>
              <c:f>'Sector Summary'!$H$4:$H$11</c:f>
              <c:strCache>
                <c:ptCount val="8"/>
                <c:pt idx="0">
                  <c:v>Acadia</c:v>
                </c:pt>
                <c:pt idx="1">
                  <c:v>Brigantine</c:v>
                </c:pt>
                <c:pt idx="2">
                  <c:v>Dolly Sods</c:v>
                </c:pt>
                <c:pt idx="3">
                  <c:v>Great Gulf</c:v>
                </c:pt>
                <c:pt idx="4">
                  <c:v>James River Face</c:v>
                </c:pt>
                <c:pt idx="5">
                  <c:v>Lye Brook</c:v>
                </c:pt>
                <c:pt idx="6">
                  <c:v>Moosehorn</c:v>
                </c:pt>
                <c:pt idx="7">
                  <c:v>Shenandoah</c:v>
                </c:pt>
              </c:strCache>
            </c:strRef>
          </c:cat>
          <c:val>
            <c:numRef>
              <c:f>'Sector Summary'!$J$4:$J$11</c:f>
              <c:numCache>
                <c:formatCode>General</c:formatCode>
                <c:ptCount val="8"/>
                <c:pt idx="0">
                  <c:v>6.9155158355945906E-2</c:v>
                </c:pt>
                <c:pt idx="1">
                  <c:v>9.1806647647108081E-2</c:v>
                </c:pt>
                <c:pt idx="2">
                  <c:v>0.13817610311625378</c:v>
                </c:pt>
                <c:pt idx="3">
                  <c:v>4.8917606279454261E-2</c:v>
                </c:pt>
                <c:pt idx="4">
                  <c:v>0.10728630907044467</c:v>
                </c:pt>
                <c:pt idx="5">
                  <c:v>7.0381435343787324E-2</c:v>
                </c:pt>
                <c:pt idx="6">
                  <c:v>5.4355583101317231E-2</c:v>
                </c:pt>
                <c:pt idx="7">
                  <c:v>0.11124238436766631</c:v>
                </c:pt>
              </c:numCache>
            </c:numRef>
          </c:val>
        </c:ser>
        <c:ser>
          <c:idx val="2"/>
          <c:order val="2"/>
          <c:tx>
            <c:strRef>
              <c:f>'Sector Summary'!$K$3</c:f>
              <c:strCache>
                <c:ptCount val="1"/>
                <c:pt idx="0">
                  <c:v>Small EGUs</c:v>
                </c:pt>
              </c:strCache>
            </c:strRef>
          </c:tx>
          <c:spPr>
            <a:solidFill>
              <a:schemeClr val="accent3"/>
            </a:solidFill>
            <a:ln>
              <a:noFill/>
            </a:ln>
            <a:effectLst/>
          </c:spPr>
          <c:invertIfNegative val="0"/>
          <c:cat>
            <c:strRef>
              <c:f>'Sector Summary'!$H$4:$H$11</c:f>
              <c:strCache>
                <c:ptCount val="8"/>
                <c:pt idx="0">
                  <c:v>Acadia</c:v>
                </c:pt>
                <c:pt idx="1">
                  <c:v>Brigantine</c:v>
                </c:pt>
                <c:pt idx="2">
                  <c:v>Dolly Sods</c:v>
                </c:pt>
                <c:pt idx="3">
                  <c:v>Great Gulf</c:v>
                </c:pt>
                <c:pt idx="4">
                  <c:v>James River Face</c:v>
                </c:pt>
                <c:pt idx="5">
                  <c:v>Lye Brook</c:v>
                </c:pt>
                <c:pt idx="6">
                  <c:v>Moosehorn</c:v>
                </c:pt>
                <c:pt idx="7">
                  <c:v>Shenandoah</c:v>
                </c:pt>
              </c:strCache>
            </c:strRef>
          </c:cat>
          <c:val>
            <c:numRef>
              <c:f>'Sector Summary'!$K$4:$K$11</c:f>
              <c:numCache>
                <c:formatCode>General</c:formatCode>
                <c:ptCount val="8"/>
                <c:pt idx="0">
                  <c:v>1.5600708138745209E-2</c:v>
                </c:pt>
                <c:pt idx="1">
                  <c:v>2.3251973358813856E-2</c:v>
                </c:pt>
                <c:pt idx="2">
                  <c:v>3.0142303902989963E-2</c:v>
                </c:pt>
                <c:pt idx="3">
                  <c:v>1.1302884974284612E-2</c:v>
                </c:pt>
                <c:pt idx="4">
                  <c:v>2.6771473000791673E-2</c:v>
                </c:pt>
                <c:pt idx="5">
                  <c:v>1.4906265272781395E-2</c:v>
                </c:pt>
                <c:pt idx="6">
                  <c:v>1.2323711340645692E-2</c:v>
                </c:pt>
                <c:pt idx="7">
                  <c:v>2.8078002331929173E-2</c:v>
                </c:pt>
              </c:numCache>
            </c:numRef>
          </c:val>
        </c:ser>
        <c:ser>
          <c:idx val="3"/>
          <c:order val="3"/>
          <c:tx>
            <c:strRef>
              <c:f>'Sector Summary'!$L$3</c:f>
              <c:strCache>
                <c:ptCount val="1"/>
                <c:pt idx="0">
                  <c:v>Oil/Gas</c:v>
                </c:pt>
              </c:strCache>
            </c:strRef>
          </c:tx>
          <c:spPr>
            <a:solidFill>
              <a:schemeClr val="accent4"/>
            </a:solidFill>
            <a:ln>
              <a:noFill/>
            </a:ln>
            <a:effectLst/>
          </c:spPr>
          <c:invertIfNegative val="0"/>
          <c:cat>
            <c:strRef>
              <c:f>'Sector Summary'!$H$4:$H$11</c:f>
              <c:strCache>
                <c:ptCount val="8"/>
                <c:pt idx="0">
                  <c:v>Acadia</c:v>
                </c:pt>
                <c:pt idx="1">
                  <c:v>Brigantine</c:v>
                </c:pt>
                <c:pt idx="2">
                  <c:v>Dolly Sods</c:v>
                </c:pt>
                <c:pt idx="3">
                  <c:v>Great Gulf</c:v>
                </c:pt>
                <c:pt idx="4">
                  <c:v>James River Face</c:v>
                </c:pt>
                <c:pt idx="5">
                  <c:v>Lye Brook</c:v>
                </c:pt>
                <c:pt idx="6">
                  <c:v>Moosehorn</c:v>
                </c:pt>
                <c:pt idx="7">
                  <c:v>Shenandoah</c:v>
                </c:pt>
              </c:strCache>
            </c:strRef>
          </c:cat>
          <c:val>
            <c:numRef>
              <c:f>'Sector Summary'!$L$4:$L$11</c:f>
              <c:numCache>
                <c:formatCode>General</c:formatCode>
                <c:ptCount val="8"/>
                <c:pt idx="0">
                  <c:v>2.6590536064478804E-3</c:v>
                </c:pt>
                <c:pt idx="1">
                  <c:v>3.6286097872926639E-3</c:v>
                </c:pt>
                <c:pt idx="2">
                  <c:v>3.9353690187718046E-3</c:v>
                </c:pt>
                <c:pt idx="3">
                  <c:v>1.8659966690263178E-3</c:v>
                </c:pt>
                <c:pt idx="4">
                  <c:v>4.3029513098778414E-3</c:v>
                </c:pt>
                <c:pt idx="5">
                  <c:v>2.7648490644641508E-3</c:v>
                </c:pt>
                <c:pt idx="6">
                  <c:v>2.1565038515535253E-3</c:v>
                </c:pt>
                <c:pt idx="7">
                  <c:v>3.7115797038655323E-3</c:v>
                </c:pt>
              </c:numCache>
            </c:numRef>
          </c:val>
        </c:ser>
        <c:ser>
          <c:idx val="4"/>
          <c:order val="4"/>
          <c:tx>
            <c:strRef>
              <c:f>'Sector Summary'!$M$3</c:f>
              <c:strCache>
                <c:ptCount val="1"/>
                <c:pt idx="0">
                  <c:v>Ethanol</c:v>
                </c:pt>
              </c:strCache>
            </c:strRef>
          </c:tx>
          <c:spPr>
            <a:solidFill>
              <a:schemeClr val="accent5"/>
            </a:solidFill>
            <a:ln>
              <a:noFill/>
            </a:ln>
            <a:effectLst/>
          </c:spPr>
          <c:invertIfNegative val="0"/>
          <c:cat>
            <c:strRef>
              <c:f>'Sector Summary'!$H$4:$H$11</c:f>
              <c:strCache>
                <c:ptCount val="8"/>
                <c:pt idx="0">
                  <c:v>Acadia</c:v>
                </c:pt>
                <c:pt idx="1">
                  <c:v>Brigantine</c:v>
                </c:pt>
                <c:pt idx="2">
                  <c:v>Dolly Sods</c:v>
                </c:pt>
                <c:pt idx="3">
                  <c:v>Great Gulf</c:v>
                </c:pt>
                <c:pt idx="4">
                  <c:v>James River Face</c:v>
                </c:pt>
                <c:pt idx="5">
                  <c:v>Lye Brook</c:v>
                </c:pt>
                <c:pt idx="6">
                  <c:v>Moosehorn</c:v>
                </c:pt>
                <c:pt idx="7">
                  <c:v>Shenandoah</c:v>
                </c:pt>
              </c:strCache>
            </c:strRef>
          </c:cat>
          <c:val>
            <c:numRef>
              <c:f>'Sector Summary'!$M$4:$M$11</c:f>
              <c:numCache>
                <c:formatCode>General</c:formatCode>
                <c:ptCount val="8"/>
                <c:pt idx="0">
                  <c:v>1.5497150339174497E-6</c:v>
                </c:pt>
                <c:pt idx="1">
                  <c:v>1.3944363271522727E-6</c:v>
                </c:pt>
                <c:pt idx="2">
                  <c:v>1.9073569545021348E-6</c:v>
                </c:pt>
                <c:pt idx="3">
                  <c:v>1.4038539280124766E-6</c:v>
                </c:pt>
                <c:pt idx="4">
                  <c:v>1.747638842241478E-6</c:v>
                </c:pt>
                <c:pt idx="5">
                  <c:v>1.848691883127076E-6</c:v>
                </c:pt>
                <c:pt idx="6">
                  <c:v>1.4325702856626906E-6</c:v>
                </c:pt>
                <c:pt idx="7">
                  <c:v>1.6718144372233336E-6</c:v>
                </c:pt>
              </c:numCache>
            </c:numRef>
          </c:val>
        </c:ser>
        <c:ser>
          <c:idx val="5"/>
          <c:order val="5"/>
          <c:tx>
            <c:strRef>
              <c:f>'Sector Summary'!$N$3</c:f>
              <c:strCache>
                <c:ptCount val="1"/>
                <c:pt idx="0">
                  <c:v>Refueling</c:v>
                </c:pt>
              </c:strCache>
            </c:strRef>
          </c:tx>
          <c:spPr>
            <a:solidFill>
              <a:schemeClr val="accent6"/>
            </a:solidFill>
            <a:ln>
              <a:noFill/>
            </a:ln>
            <a:effectLst/>
          </c:spPr>
          <c:invertIfNegative val="0"/>
          <c:cat>
            <c:strRef>
              <c:f>'Sector Summary'!$H$4:$H$11</c:f>
              <c:strCache>
                <c:ptCount val="8"/>
                <c:pt idx="0">
                  <c:v>Acadia</c:v>
                </c:pt>
                <c:pt idx="1">
                  <c:v>Brigantine</c:v>
                </c:pt>
                <c:pt idx="2">
                  <c:v>Dolly Sods</c:v>
                </c:pt>
                <c:pt idx="3">
                  <c:v>Great Gulf</c:v>
                </c:pt>
                <c:pt idx="4">
                  <c:v>James River Face</c:v>
                </c:pt>
                <c:pt idx="5">
                  <c:v>Lye Brook</c:v>
                </c:pt>
                <c:pt idx="6">
                  <c:v>Moosehorn</c:v>
                </c:pt>
                <c:pt idx="7">
                  <c:v>Shenandoah</c:v>
                </c:pt>
              </c:strCache>
            </c:strRef>
          </c:cat>
          <c:val>
            <c:numRef>
              <c:f>'Sector Summary'!$N$4:$N$11</c:f>
              <c:numCache>
                <c:formatCode>General</c:formatCode>
                <c:ptCount val="8"/>
                <c:pt idx="0">
                  <c:v>2.75885135246474E-8</c:v>
                </c:pt>
                <c:pt idx="1">
                  <c:v>2.5548857935854665E-8</c:v>
                </c:pt>
                <c:pt idx="2">
                  <c:v>3.7742328938779275E-8</c:v>
                </c:pt>
                <c:pt idx="3">
                  <c:v>2.246719611468096E-8</c:v>
                </c:pt>
                <c:pt idx="4">
                  <c:v>3.7737595800656117E-8</c:v>
                </c:pt>
                <c:pt idx="5">
                  <c:v>2.5179681932477881E-8</c:v>
                </c:pt>
                <c:pt idx="6">
                  <c:v>2.8481363685664401E-8</c:v>
                </c:pt>
                <c:pt idx="7">
                  <c:v>3.3305867973901676E-8</c:v>
                </c:pt>
              </c:numCache>
            </c:numRef>
          </c:val>
        </c:ser>
        <c:dLbls>
          <c:showLegendKey val="0"/>
          <c:showVal val="0"/>
          <c:showCatName val="0"/>
          <c:showSerName val="0"/>
          <c:showPercent val="0"/>
          <c:showBubbleSize val="0"/>
        </c:dLbls>
        <c:gapWidth val="50"/>
        <c:overlap val="100"/>
        <c:axId val="433181936"/>
        <c:axId val="437507016"/>
      </c:barChart>
      <c:catAx>
        <c:axId val="43318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507016"/>
        <c:crosses val="autoZero"/>
        <c:auto val="1"/>
        <c:lblAlgn val="ctr"/>
        <c:lblOffset val="100"/>
        <c:noMultiLvlLbl val="0"/>
      </c:catAx>
      <c:valAx>
        <c:axId val="437507016"/>
        <c:scaling>
          <c:orientation val="minMax"/>
        </c:scaling>
        <c:delete val="1"/>
        <c:axPos val="l"/>
        <c:majorGridlines>
          <c:spPr>
            <a:ln w="9525" cap="flat" cmpd="sng" algn="ctr">
              <a:solidFill>
                <a:schemeClr val="tx1">
                  <a:lumMod val="15000"/>
                  <a:lumOff val="85000"/>
                </a:schemeClr>
              </a:solidFill>
              <a:round/>
            </a:ln>
            <a:effectLst/>
          </c:spPr>
        </c:majorGridlines>
        <c:title>
          <c:tx>
            <c:rich>
              <a:bodyPr/>
              <a:lstStyle/>
              <a:p>
                <a:pPr>
                  <a:defRPr/>
                </a:pPr>
                <a:r>
                  <a:rPr lang="en-US"/>
                  <a:t>Percent</a:t>
                </a:r>
                <a:r>
                  <a:rPr lang="en-US" baseline="0"/>
                  <a:t> Of Total Point Contribution</a:t>
                </a:r>
                <a:endParaRPr lang="en-US"/>
              </a:p>
            </c:rich>
          </c:tx>
          <c:layout/>
          <c:overlay val="0"/>
        </c:title>
        <c:numFmt formatCode="0%" sourceLinked="1"/>
        <c:majorTickMark val="none"/>
        <c:minorTickMark val="none"/>
        <c:tickLblPos val="nextTo"/>
        <c:crossAx val="433181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[draftQdC2018SCCStateSummary.xlsx]SCC Summary !PivotTable2</c:name>
    <c:fmtId val="-1"/>
  </c:pivotSource>
  <c:chart>
    <c:autoTitleDeleted val="0"/>
    <c:pivotFmts>
      <c:pivotFmt>
        <c:idx val="0"/>
        <c:spPr>
          <a:solidFill>
            <a:schemeClr val="accent1"/>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w="19050">
            <a:solidFill>
              <a:schemeClr val="lt1"/>
            </a:solidFill>
          </a:ln>
          <a:effectLst/>
        </c:spPr>
        <c:marker>
          <c:symbol val="none"/>
        </c:marker>
        <c:dLbl>
          <c:idx val="0"/>
          <c:delete val="1"/>
          <c:extLst>
            <c:ext xmlns:c15="http://schemas.microsoft.com/office/drawing/2012/chart" uri="{CE6537A1-D6FC-4f65-9D91-7224C49458BB}"/>
          </c:extLst>
        </c:dLbl>
      </c:pivotFmt>
      <c:pivotFmt>
        <c:idx val="8"/>
        <c:dLbl>
          <c:idx val="0"/>
          <c:layout>
            <c:manualLayout>
              <c:x val="-9.6313017306245294E-2"/>
              <c:y val="-0.1562759767248546"/>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3197893152746426"/>
                  <c:h val="0.33665835411471323"/>
                </c:manualLayout>
              </c15:layout>
            </c:ext>
          </c:extLst>
        </c:dLbl>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pivotFmt>
      <c:pivotFmt>
        <c:idx val="20"/>
        <c:spPr>
          <a:solidFill>
            <a:schemeClr val="accent1"/>
          </a:solidFill>
          <a:ln w="19050">
            <a:solidFill>
              <a:schemeClr val="lt1"/>
            </a:solidFill>
          </a:ln>
          <a:effectLst/>
        </c:spPr>
        <c:dLbl>
          <c:idx val="0"/>
          <c:layout>
            <c:manualLayout>
              <c:x val="-0.10126785164532955"/>
              <c:y val="-0.24707898692150659"/>
            </c:manualLayout>
          </c:layout>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extLst>
        </c:dLbl>
      </c:pivotFmt>
      <c:pivotFmt>
        <c:idx val="21"/>
        <c:spPr>
          <a:solidFill>
            <a:schemeClr val="accent1"/>
          </a:solidFill>
          <a:ln w="19050">
            <a:solidFill>
              <a:schemeClr val="lt1"/>
            </a:solidFill>
          </a:ln>
          <a:effectLst/>
        </c:spPr>
        <c:dLbl>
          <c:idx val="0"/>
          <c:layout>
            <c:manualLayout>
              <c:x val="1.0738658741523183E-3"/>
              <c:y val="0.10214849212224533"/>
            </c:manualLayout>
          </c:layout>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extLst>
        </c:dLbl>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
        <c:idx val="34"/>
        <c:spPr>
          <a:solidFill>
            <a:schemeClr val="accent1"/>
          </a:solidFill>
          <a:ln w="19050">
            <a:solidFill>
              <a:schemeClr val="lt1"/>
            </a:solidFill>
          </a:ln>
          <a:effectLst/>
        </c:spPr>
      </c:pivotFmt>
      <c:pivotFmt>
        <c:idx val="35"/>
        <c:spPr>
          <a:solidFill>
            <a:schemeClr val="accent1"/>
          </a:solidFill>
          <a:ln w="19050">
            <a:solidFill>
              <a:schemeClr val="lt1"/>
            </a:solidFill>
          </a:ln>
          <a:effectLst/>
        </c:spPr>
      </c:pivotFmt>
      <c:pivotFmt>
        <c:idx val="36"/>
        <c:spPr>
          <a:solidFill>
            <a:schemeClr val="accent1"/>
          </a:solidFill>
          <a:ln w="19050">
            <a:solidFill>
              <a:schemeClr val="lt1"/>
            </a:solidFill>
          </a:ln>
          <a:effectLst/>
        </c:spPr>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pivotFmt>
      <c:pivotFmt>
        <c:idx val="42"/>
        <c:spPr>
          <a:solidFill>
            <a:schemeClr val="accent1"/>
          </a:solidFill>
          <a:ln w="19050">
            <a:solidFill>
              <a:schemeClr val="lt1"/>
            </a:solidFill>
          </a:ln>
          <a:effectLst/>
        </c:spPr>
      </c:pivotFmt>
      <c:pivotFmt>
        <c:idx val="43"/>
        <c:spPr>
          <a:solidFill>
            <a:schemeClr val="accent1"/>
          </a:solidFill>
          <a:ln w="19050">
            <a:solidFill>
              <a:schemeClr val="lt1"/>
            </a:solidFill>
          </a:ln>
          <a:effectLst/>
        </c:spPr>
      </c:pivotFmt>
      <c:pivotFmt>
        <c:idx val="44"/>
        <c:spPr>
          <a:solidFill>
            <a:schemeClr val="accent1"/>
          </a:solidFill>
          <a:ln w="19050">
            <a:solidFill>
              <a:schemeClr val="lt1"/>
            </a:solidFill>
          </a:ln>
          <a:effectLst/>
        </c:spPr>
      </c:pivotFmt>
      <c:pivotFmt>
        <c:idx val="45"/>
        <c:spPr>
          <a:solidFill>
            <a:schemeClr val="accent1"/>
          </a:solidFill>
          <a:ln w="19050">
            <a:solidFill>
              <a:schemeClr val="lt1"/>
            </a:solidFill>
          </a:ln>
          <a:effectLst/>
        </c:spPr>
      </c:pivotFmt>
      <c:pivotFmt>
        <c:idx val="46"/>
        <c:spPr>
          <a:solidFill>
            <a:schemeClr val="accent1"/>
          </a:solidFill>
          <a:ln w="19050">
            <a:solidFill>
              <a:schemeClr val="lt1"/>
            </a:solidFill>
          </a:ln>
          <a:effectLst/>
        </c:spPr>
      </c:pivotFmt>
      <c:pivotFmt>
        <c:idx val="47"/>
        <c:spPr>
          <a:solidFill>
            <a:schemeClr val="accent1"/>
          </a:solidFill>
          <a:ln w="19050">
            <a:solidFill>
              <a:schemeClr val="lt1"/>
            </a:solidFill>
          </a:ln>
          <a:effectLst/>
        </c:spPr>
      </c:pivotFmt>
      <c:pivotFmt>
        <c:idx val="48"/>
        <c:spPr>
          <a:solidFill>
            <a:schemeClr val="accent1"/>
          </a:solidFill>
          <a:ln w="19050">
            <a:solidFill>
              <a:schemeClr val="lt1"/>
            </a:solidFill>
          </a:ln>
          <a:effectLst/>
        </c:spPr>
      </c:pivotFmt>
      <c:pivotFmt>
        <c:idx val="49"/>
        <c:spPr>
          <a:solidFill>
            <a:schemeClr val="accent1"/>
          </a:solidFill>
          <a:ln w="19050">
            <a:solidFill>
              <a:schemeClr val="lt1"/>
            </a:solidFill>
          </a:ln>
          <a:effectLst/>
        </c:spPr>
      </c:pivotFmt>
      <c:pivotFmt>
        <c:idx val="50"/>
        <c:spPr>
          <a:solidFill>
            <a:schemeClr val="accent1"/>
          </a:solidFill>
          <a:ln w="19050">
            <a:solidFill>
              <a:schemeClr val="lt1"/>
            </a:solidFill>
          </a:ln>
          <a:effectLst/>
        </c:spPr>
      </c:pivotFmt>
      <c:pivotFmt>
        <c:idx val="51"/>
        <c:spPr>
          <a:solidFill>
            <a:schemeClr val="accent1"/>
          </a:solidFill>
          <a:ln w="19050">
            <a:solidFill>
              <a:schemeClr val="lt1"/>
            </a:solidFill>
          </a:ln>
          <a:effectLst/>
        </c:spPr>
      </c:pivotFmt>
      <c:pivotFmt>
        <c:idx val="52"/>
        <c:spPr>
          <a:solidFill>
            <a:schemeClr val="accent1"/>
          </a:solidFill>
          <a:ln w="19050">
            <a:solidFill>
              <a:schemeClr val="lt1"/>
            </a:solidFill>
          </a:ln>
          <a:effectLst/>
        </c:spPr>
      </c:pivotFmt>
      <c:pivotFmt>
        <c:idx val="53"/>
        <c:spPr>
          <a:solidFill>
            <a:schemeClr val="accent1"/>
          </a:solidFill>
          <a:ln w="19050">
            <a:solidFill>
              <a:schemeClr val="lt1"/>
            </a:solidFill>
          </a:ln>
          <a:effectLst/>
        </c:spPr>
      </c:pivotFmt>
      <c:pivotFmt>
        <c:idx val="54"/>
        <c:spPr>
          <a:solidFill>
            <a:schemeClr val="accent1"/>
          </a:solidFill>
          <a:ln w="19050">
            <a:solidFill>
              <a:schemeClr val="lt1"/>
            </a:solidFill>
          </a:ln>
          <a:effectLst/>
        </c:spPr>
      </c:pivotFmt>
      <c:pivotFmt>
        <c:idx val="55"/>
        <c:spPr>
          <a:solidFill>
            <a:schemeClr val="accent1"/>
          </a:solidFill>
          <a:ln w="19050">
            <a:solidFill>
              <a:schemeClr val="lt1"/>
            </a:solidFill>
          </a:ln>
          <a:effectLst/>
        </c:spPr>
      </c:pivotFmt>
      <c:pivotFmt>
        <c:idx val="56"/>
        <c:spPr>
          <a:solidFill>
            <a:schemeClr val="accent1"/>
          </a:solidFill>
          <a:ln w="19050">
            <a:solidFill>
              <a:schemeClr val="lt1"/>
            </a:solidFill>
          </a:ln>
          <a:effectLst/>
        </c:spPr>
      </c:pivotFmt>
      <c:pivotFmt>
        <c:idx val="57"/>
        <c:spPr>
          <a:solidFill>
            <a:schemeClr val="accent1"/>
          </a:solidFill>
          <a:ln w="19050">
            <a:solidFill>
              <a:schemeClr val="lt1"/>
            </a:solidFill>
          </a:ln>
          <a:effectLst/>
        </c:spPr>
      </c:pivotFmt>
      <c:pivotFmt>
        <c:idx val="58"/>
        <c:spPr>
          <a:solidFill>
            <a:schemeClr val="accent1"/>
          </a:solidFill>
          <a:ln w="19050">
            <a:solidFill>
              <a:schemeClr val="lt1"/>
            </a:solidFill>
          </a:ln>
          <a:effectLst/>
        </c:spPr>
      </c:pivotFmt>
      <c:pivotFmt>
        <c:idx val="59"/>
        <c:spPr>
          <a:solidFill>
            <a:schemeClr val="accent1"/>
          </a:solidFill>
          <a:ln w="19050">
            <a:solidFill>
              <a:schemeClr val="lt1"/>
            </a:solidFill>
          </a:ln>
          <a:effectLst/>
        </c:spPr>
      </c:pivotFmt>
      <c:pivotFmt>
        <c:idx val="60"/>
        <c:spPr>
          <a:solidFill>
            <a:schemeClr val="accent1"/>
          </a:solidFill>
          <a:ln w="19050">
            <a:solidFill>
              <a:schemeClr val="lt1"/>
            </a:solidFill>
          </a:ln>
          <a:effectLst/>
        </c:spPr>
      </c:pivotFmt>
      <c:pivotFmt>
        <c:idx val="61"/>
        <c:spPr>
          <a:solidFill>
            <a:schemeClr val="accent1"/>
          </a:solidFill>
          <a:ln w="19050">
            <a:solidFill>
              <a:schemeClr val="lt1"/>
            </a:solidFill>
          </a:ln>
          <a:effectLst/>
        </c:spPr>
      </c:pivotFmt>
      <c:pivotFmt>
        <c:idx val="62"/>
        <c:spPr>
          <a:solidFill>
            <a:schemeClr val="accent1"/>
          </a:solidFill>
          <a:ln w="19050">
            <a:solidFill>
              <a:schemeClr val="lt1"/>
            </a:solidFill>
          </a:ln>
          <a:effectLst/>
        </c:spPr>
      </c:pivotFmt>
      <c:pivotFmt>
        <c:idx val="63"/>
        <c:spPr>
          <a:solidFill>
            <a:schemeClr val="accent1"/>
          </a:solidFill>
          <a:ln w="19050">
            <a:solidFill>
              <a:schemeClr val="lt1"/>
            </a:solidFill>
          </a:ln>
          <a:effectLst/>
        </c:spPr>
      </c:pivotFmt>
      <c:pivotFmt>
        <c:idx val="64"/>
        <c:spPr>
          <a:solidFill>
            <a:schemeClr val="accent1"/>
          </a:solidFill>
          <a:ln w="19050">
            <a:solidFill>
              <a:schemeClr val="lt1"/>
            </a:solidFill>
          </a:ln>
          <a:effectLst/>
        </c:spPr>
      </c:pivotFmt>
      <c:pivotFmt>
        <c:idx val="65"/>
        <c:spPr>
          <a:solidFill>
            <a:schemeClr val="accent1"/>
          </a:solidFill>
          <a:ln w="19050">
            <a:solidFill>
              <a:schemeClr val="lt1"/>
            </a:solidFill>
          </a:ln>
          <a:effectLst/>
        </c:spPr>
      </c:pivotFmt>
      <c:pivotFmt>
        <c:idx val="66"/>
        <c:spPr>
          <a:solidFill>
            <a:schemeClr val="accent1"/>
          </a:solidFill>
          <a:ln w="19050">
            <a:solidFill>
              <a:schemeClr val="lt1"/>
            </a:solidFill>
          </a:ln>
          <a:effectLst/>
        </c:spPr>
      </c:pivotFmt>
      <c:pivotFmt>
        <c:idx val="67"/>
        <c:spPr>
          <a:solidFill>
            <a:schemeClr val="accent1"/>
          </a:solidFill>
          <a:ln w="19050">
            <a:solidFill>
              <a:schemeClr val="lt1"/>
            </a:solidFill>
          </a:ln>
          <a:effectLst/>
        </c:spPr>
      </c:pivotFmt>
      <c:pivotFmt>
        <c:idx val="68"/>
        <c:spPr>
          <a:solidFill>
            <a:schemeClr val="accent1"/>
          </a:solidFill>
          <a:ln w="19050">
            <a:solidFill>
              <a:schemeClr val="lt1"/>
            </a:solidFill>
          </a:ln>
          <a:effectLst/>
        </c:spPr>
      </c:pivotFmt>
      <c:pivotFmt>
        <c:idx val="69"/>
        <c:spPr>
          <a:solidFill>
            <a:schemeClr val="accent1"/>
          </a:solidFill>
          <a:ln w="19050">
            <a:solidFill>
              <a:schemeClr val="lt1"/>
            </a:solidFill>
          </a:ln>
          <a:effectLst/>
        </c:spPr>
      </c:pivotFmt>
      <c:pivotFmt>
        <c:idx val="70"/>
        <c:spPr>
          <a:solidFill>
            <a:schemeClr val="accent1"/>
          </a:solidFill>
          <a:ln w="19050">
            <a:solidFill>
              <a:schemeClr val="lt1"/>
            </a:solidFill>
          </a:ln>
          <a:effectLst/>
        </c:spPr>
      </c:pivotFmt>
      <c:pivotFmt>
        <c:idx val="71"/>
        <c:spPr>
          <a:solidFill>
            <a:schemeClr val="accent1"/>
          </a:solidFill>
          <a:ln w="19050">
            <a:solidFill>
              <a:schemeClr val="lt1"/>
            </a:solidFill>
          </a:ln>
          <a:effectLst/>
        </c:spPr>
      </c:pivotFmt>
      <c:pivotFmt>
        <c:idx val="72"/>
        <c:spPr>
          <a:solidFill>
            <a:schemeClr val="accent1"/>
          </a:solidFill>
          <a:ln w="19050">
            <a:solidFill>
              <a:schemeClr val="lt1"/>
            </a:solidFill>
          </a:ln>
          <a:effectLst/>
        </c:spPr>
      </c:pivotFmt>
      <c:pivotFmt>
        <c:idx val="73"/>
        <c:spPr>
          <a:solidFill>
            <a:schemeClr val="accent1"/>
          </a:solidFill>
          <a:ln w="19050">
            <a:solidFill>
              <a:schemeClr val="lt1"/>
            </a:solidFill>
          </a:ln>
          <a:effectLst/>
        </c:spPr>
      </c:pivotFmt>
      <c:pivotFmt>
        <c:idx val="74"/>
        <c:spPr>
          <a:solidFill>
            <a:schemeClr val="accent1"/>
          </a:solidFill>
          <a:ln w="19050">
            <a:solidFill>
              <a:schemeClr val="lt1"/>
            </a:solidFill>
          </a:ln>
          <a:effectLst/>
        </c:spPr>
      </c:pivotFmt>
      <c:pivotFmt>
        <c:idx val="75"/>
        <c:spPr>
          <a:solidFill>
            <a:schemeClr val="accent1"/>
          </a:solidFill>
          <a:ln w="19050">
            <a:solidFill>
              <a:schemeClr val="lt1"/>
            </a:solidFill>
          </a:ln>
          <a:effectLst/>
        </c:spPr>
      </c:pivotFmt>
      <c:pivotFmt>
        <c:idx val="76"/>
        <c:spPr>
          <a:solidFill>
            <a:schemeClr val="accent1"/>
          </a:solidFill>
          <a:ln w="19050">
            <a:solidFill>
              <a:schemeClr val="lt1"/>
            </a:solidFill>
          </a:ln>
          <a:effectLst/>
        </c:spPr>
      </c:pivotFmt>
      <c:pivotFmt>
        <c:idx val="77"/>
        <c:spPr>
          <a:solidFill>
            <a:schemeClr val="accent1"/>
          </a:solidFill>
          <a:ln w="19050">
            <a:solidFill>
              <a:schemeClr val="lt1"/>
            </a:solidFill>
          </a:ln>
          <a:effectLst/>
        </c:spPr>
      </c:pivotFmt>
      <c:pivotFmt>
        <c:idx val="78"/>
        <c:spPr>
          <a:solidFill>
            <a:schemeClr val="accent1"/>
          </a:solidFill>
          <a:ln w="19050">
            <a:solidFill>
              <a:schemeClr val="lt1"/>
            </a:solidFill>
          </a:ln>
          <a:effectLst/>
        </c:spPr>
      </c:pivotFmt>
      <c:pivotFmt>
        <c:idx val="79"/>
        <c:spPr>
          <a:solidFill>
            <a:schemeClr val="accent1"/>
          </a:solidFill>
          <a:ln w="19050">
            <a:solidFill>
              <a:schemeClr val="lt1"/>
            </a:solidFill>
          </a:ln>
          <a:effectLst/>
        </c:spPr>
      </c:pivotFmt>
      <c:pivotFmt>
        <c:idx val="80"/>
        <c:spPr>
          <a:solidFill>
            <a:schemeClr val="accent1"/>
          </a:solidFill>
          <a:ln w="19050">
            <a:solidFill>
              <a:schemeClr val="lt1"/>
            </a:solidFill>
          </a:ln>
          <a:effectLst/>
        </c:spPr>
      </c:pivotFmt>
      <c:pivotFmt>
        <c:idx val="81"/>
        <c:spPr>
          <a:solidFill>
            <a:schemeClr val="accent1"/>
          </a:solidFill>
          <a:ln w="19050">
            <a:solidFill>
              <a:schemeClr val="lt1"/>
            </a:solidFill>
          </a:ln>
          <a:effectLst/>
        </c:spPr>
      </c:pivotFmt>
      <c:pivotFmt>
        <c:idx val="82"/>
        <c:spPr>
          <a:solidFill>
            <a:schemeClr val="accent1"/>
          </a:solidFill>
          <a:ln w="19050">
            <a:solidFill>
              <a:schemeClr val="lt1"/>
            </a:solidFill>
          </a:ln>
          <a:effectLst/>
        </c:spPr>
      </c:pivotFmt>
      <c:pivotFmt>
        <c:idx val="83"/>
        <c:spPr>
          <a:solidFill>
            <a:schemeClr val="accent1"/>
          </a:solidFill>
          <a:ln w="19050">
            <a:solidFill>
              <a:schemeClr val="lt1"/>
            </a:solidFill>
          </a:ln>
          <a:effectLst/>
        </c:spPr>
      </c:pivotFmt>
      <c:pivotFmt>
        <c:idx val="84"/>
        <c:spPr>
          <a:solidFill>
            <a:schemeClr val="accent1"/>
          </a:solidFill>
          <a:ln w="19050">
            <a:solidFill>
              <a:schemeClr val="lt1"/>
            </a:solidFill>
          </a:ln>
          <a:effectLst/>
        </c:spPr>
      </c:pivotFmt>
      <c:pivotFmt>
        <c:idx val="85"/>
        <c:spPr>
          <a:solidFill>
            <a:schemeClr val="accent1"/>
          </a:solidFill>
          <a:ln w="19050">
            <a:solidFill>
              <a:schemeClr val="lt1"/>
            </a:solidFill>
          </a:ln>
          <a:effectLst/>
        </c:spPr>
      </c:pivotFmt>
      <c:pivotFmt>
        <c:idx val="86"/>
        <c:spPr>
          <a:solidFill>
            <a:schemeClr val="accent1"/>
          </a:solidFill>
          <a:ln w="19050">
            <a:solidFill>
              <a:schemeClr val="lt1"/>
            </a:solidFill>
          </a:ln>
          <a:effectLst/>
        </c:spPr>
      </c:pivotFmt>
      <c:pivotFmt>
        <c:idx val="87"/>
        <c:spPr>
          <a:solidFill>
            <a:schemeClr val="accent1"/>
          </a:solidFill>
          <a:ln w="19050">
            <a:solidFill>
              <a:schemeClr val="lt1"/>
            </a:solidFill>
          </a:ln>
          <a:effectLst/>
        </c:spPr>
      </c:pivotFmt>
      <c:pivotFmt>
        <c:idx val="88"/>
        <c:spPr>
          <a:solidFill>
            <a:schemeClr val="accent1"/>
          </a:solidFill>
          <a:ln w="19050">
            <a:solidFill>
              <a:schemeClr val="lt1"/>
            </a:solidFill>
          </a:ln>
          <a:effectLst/>
        </c:spPr>
      </c:pivotFmt>
      <c:pivotFmt>
        <c:idx val="89"/>
        <c:spPr>
          <a:solidFill>
            <a:schemeClr val="accent1"/>
          </a:solidFill>
          <a:ln w="19050">
            <a:solidFill>
              <a:schemeClr val="lt1"/>
            </a:solidFill>
          </a:ln>
          <a:effectLst/>
        </c:spPr>
      </c:pivotFmt>
      <c:pivotFmt>
        <c:idx val="90"/>
        <c:spPr>
          <a:solidFill>
            <a:schemeClr val="accent1"/>
          </a:solidFill>
          <a:ln w="19050">
            <a:solidFill>
              <a:schemeClr val="lt1"/>
            </a:solidFill>
          </a:ln>
          <a:effectLst/>
        </c:spPr>
      </c:pivotFmt>
      <c:pivotFmt>
        <c:idx val="91"/>
        <c:spPr>
          <a:solidFill>
            <a:schemeClr val="accent1"/>
          </a:solidFill>
          <a:ln w="19050">
            <a:solidFill>
              <a:schemeClr val="lt1"/>
            </a:solidFill>
          </a:ln>
          <a:effectLst/>
        </c:spPr>
      </c:pivotFmt>
      <c:pivotFmt>
        <c:idx val="92"/>
        <c:spPr>
          <a:solidFill>
            <a:schemeClr val="accent1"/>
          </a:solidFill>
          <a:ln w="19050">
            <a:solidFill>
              <a:schemeClr val="lt1"/>
            </a:solidFill>
          </a:ln>
          <a:effectLst/>
        </c:spPr>
      </c:pivotFmt>
      <c:pivotFmt>
        <c:idx val="93"/>
        <c:spPr>
          <a:solidFill>
            <a:schemeClr val="accent1"/>
          </a:solidFill>
          <a:ln w="19050">
            <a:solidFill>
              <a:schemeClr val="lt1"/>
            </a:solidFill>
          </a:ln>
          <a:effectLst/>
        </c:spPr>
      </c:pivotFmt>
      <c:pivotFmt>
        <c:idx val="94"/>
        <c:spPr>
          <a:solidFill>
            <a:schemeClr val="accent1"/>
          </a:solidFill>
          <a:ln w="19050">
            <a:solidFill>
              <a:schemeClr val="lt1"/>
            </a:solidFill>
          </a:ln>
          <a:effectLst/>
        </c:spPr>
      </c:pivotFmt>
      <c:pivotFmt>
        <c:idx val="95"/>
        <c:spPr>
          <a:solidFill>
            <a:schemeClr val="accent1"/>
          </a:solidFill>
          <a:ln w="19050">
            <a:solidFill>
              <a:schemeClr val="lt1"/>
            </a:solidFill>
          </a:ln>
          <a:effectLst/>
        </c:spPr>
      </c:pivotFmt>
      <c:pivotFmt>
        <c:idx val="96"/>
        <c:spPr>
          <a:solidFill>
            <a:schemeClr val="accent1"/>
          </a:solidFill>
          <a:ln w="19050">
            <a:solidFill>
              <a:schemeClr val="lt1"/>
            </a:solidFill>
          </a:ln>
          <a:effectLst/>
        </c:spPr>
      </c:pivotFmt>
      <c:pivotFmt>
        <c:idx val="97"/>
        <c:spPr>
          <a:solidFill>
            <a:schemeClr val="accent1"/>
          </a:solidFill>
          <a:ln w="19050">
            <a:solidFill>
              <a:schemeClr val="lt1"/>
            </a:solidFill>
          </a:ln>
          <a:effectLst/>
        </c:spPr>
      </c:pivotFmt>
      <c:pivotFmt>
        <c:idx val="98"/>
        <c:spPr>
          <a:solidFill>
            <a:schemeClr val="accent1"/>
          </a:solidFill>
          <a:ln w="19050">
            <a:solidFill>
              <a:schemeClr val="lt1"/>
            </a:solidFill>
          </a:ln>
          <a:effectLst/>
        </c:spPr>
      </c:pivotFmt>
      <c:pivotFmt>
        <c:idx val="99"/>
        <c:spPr>
          <a:solidFill>
            <a:schemeClr val="accent1"/>
          </a:solidFill>
          <a:ln w="19050">
            <a:solidFill>
              <a:schemeClr val="lt1"/>
            </a:solidFill>
          </a:ln>
          <a:effectLst/>
        </c:spPr>
      </c:pivotFmt>
      <c:pivotFmt>
        <c:idx val="100"/>
        <c:spPr>
          <a:solidFill>
            <a:schemeClr val="accent1"/>
          </a:solidFill>
          <a:ln w="19050">
            <a:solidFill>
              <a:schemeClr val="lt1"/>
            </a:solidFill>
          </a:ln>
          <a:effectLst/>
        </c:spPr>
      </c:pivotFmt>
      <c:pivotFmt>
        <c:idx val="101"/>
        <c:spPr>
          <a:solidFill>
            <a:schemeClr val="accent1"/>
          </a:solidFill>
          <a:ln w="19050">
            <a:solidFill>
              <a:schemeClr val="lt1"/>
            </a:solidFill>
          </a:ln>
          <a:effectLst/>
        </c:spPr>
      </c:pivotFmt>
      <c:pivotFmt>
        <c:idx val="102"/>
        <c:spPr>
          <a:solidFill>
            <a:schemeClr val="accent1"/>
          </a:solidFill>
          <a:ln w="19050">
            <a:solidFill>
              <a:schemeClr val="lt1"/>
            </a:solidFill>
          </a:ln>
          <a:effectLst/>
        </c:spPr>
      </c:pivotFmt>
      <c:pivotFmt>
        <c:idx val="103"/>
        <c:spPr>
          <a:solidFill>
            <a:schemeClr val="accent1"/>
          </a:solidFill>
          <a:ln w="19050">
            <a:solidFill>
              <a:schemeClr val="lt1"/>
            </a:solidFill>
          </a:ln>
          <a:effectLst/>
        </c:spPr>
      </c:pivotFmt>
      <c:pivotFmt>
        <c:idx val="104"/>
        <c:spPr>
          <a:solidFill>
            <a:schemeClr val="accent1"/>
          </a:solidFill>
          <a:ln w="19050">
            <a:solidFill>
              <a:schemeClr val="lt1"/>
            </a:solidFill>
          </a:ln>
          <a:effectLst/>
        </c:spPr>
      </c:pivotFmt>
      <c:pivotFmt>
        <c:idx val="105"/>
        <c:spPr>
          <a:solidFill>
            <a:schemeClr val="accent1"/>
          </a:solidFill>
          <a:ln w="19050">
            <a:solidFill>
              <a:schemeClr val="lt1"/>
            </a:solidFill>
          </a:ln>
          <a:effectLst/>
        </c:spPr>
      </c:pivotFmt>
      <c:pivotFmt>
        <c:idx val="106"/>
        <c:spPr>
          <a:solidFill>
            <a:schemeClr val="accent1"/>
          </a:solidFill>
          <a:ln w="19050">
            <a:solidFill>
              <a:schemeClr val="lt1"/>
            </a:solidFill>
          </a:ln>
          <a:effectLst/>
        </c:spPr>
      </c:pivotFmt>
      <c:pivotFmt>
        <c:idx val="107"/>
        <c:spPr>
          <a:solidFill>
            <a:schemeClr val="accent1"/>
          </a:solidFill>
          <a:ln w="19050">
            <a:solidFill>
              <a:schemeClr val="lt1"/>
            </a:solidFill>
          </a:ln>
          <a:effectLst/>
        </c:spPr>
      </c:pivotFmt>
      <c:pivotFmt>
        <c:idx val="108"/>
        <c:spPr>
          <a:solidFill>
            <a:schemeClr val="accent1"/>
          </a:solidFill>
          <a:ln w="19050">
            <a:solidFill>
              <a:schemeClr val="lt1"/>
            </a:solidFill>
          </a:ln>
          <a:effectLst/>
        </c:spPr>
      </c:pivotFmt>
      <c:pivotFmt>
        <c:idx val="109"/>
        <c:spPr>
          <a:solidFill>
            <a:schemeClr val="accent1"/>
          </a:solidFill>
          <a:ln w="19050">
            <a:solidFill>
              <a:schemeClr val="lt1"/>
            </a:solidFill>
          </a:ln>
          <a:effectLst/>
        </c:spPr>
      </c:pivotFmt>
      <c:pivotFmt>
        <c:idx val="110"/>
        <c:spPr>
          <a:solidFill>
            <a:schemeClr val="accent1"/>
          </a:solidFill>
          <a:ln w="19050">
            <a:solidFill>
              <a:schemeClr val="lt1"/>
            </a:solidFill>
          </a:ln>
          <a:effectLst/>
        </c:spPr>
      </c:pivotFmt>
      <c:pivotFmt>
        <c:idx val="111"/>
        <c:spPr>
          <a:solidFill>
            <a:schemeClr val="accent1"/>
          </a:solidFill>
          <a:ln w="19050">
            <a:solidFill>
              <a:schemeClr val="lt1"/>
            </a:solidFill>
          </a:ln>
          <a:effectLst/>
        </c:spPr>
      </c:pivotFmt>
      <c:pivotFmt>
        <c:idx val="112"/>
        <c:spPr>
          <a:solidFill>
            <a:schemeClr val="accent1"/>
          </a:solidFill>
          <a:ln w="19050">
            <a:solidFill>
              <a:schemeClr val="lt1"/>
            </a:solidFill>
          </a:ln>
          <a:effectLst/>
        </c:spPr>
      </c:pivotFmt>
      <c:pivotFmt>
        <c:idx val="113"/>
        <c:spPr>
          <a:solidFill>
            <a:schemeClr val="accent1"/>
          </a:solidFill>
          <a:ln w="19050">
            <a:solidFill>
              <a:schemeClr val="lt1"/>
            </a:solidFill>
          </a:ln>
          <a:effectLst/>
        </c:spPr>
        <c:marker>
          <c:symbol val="none"/>
        </c:marker>
      </c:pivotFmt>
      <c:pivotFmt>
        <c:idx val="114"/>
        <c:spPr>
          <a:solidFill>
            <a:schemeClr val="accent1"/>
          </a:solidFill>
          <a:ln w="19050">
            <a:solidFill>
              <a:schemeClr val="lt1"/>
            </a:solidFill>
          </a:ln>
          <a:effectLst/>
        </c:spPr>
        <c:marker>
          <c:symbol val="none"/>
        </c:marker>
      </c:pivotFmt>
      <c:pivotFmt>
        <c:idx val="115"/>
        <c:spPr>
          <a:solidFill>
            <a:schemeClr val="accent1"/>
          </a:solidFill>
          <a:ln w="19050">
            <a:solidFill>
              <a:schemeClr val="lt1"/>
            </a:solidFill>
          </a:ln>
          <a:effectLst/>
        </c:spPr>
      </c:pivotFmt>
      <c:pivotFmt>
        <c:idx val="116"/>
        <c:spPr>
          <a:solidFill>
            <a:schemeClr val="accent1"/>
          </a:solidFill>
          <a:ln w="19050">
            <a:solidFill>
              <a:schemeClr val="lt1"/>
            </a:solidFill>
          </a:ln>
          <a:effectLst/>
        </c:spPr>
      </c:pivotFmt>
      <c:pivotFmt>
        <c:idx val="117"/>
        <c:spPr>
          <a:solidFill>
            <a:schemeClr val="accent1"/>
          </a:solidFill>
          <a:ln w="19050">
            <a:solidFill>
              <a:schemeClr val="lt1"/>
            </a:solidFill>
          </a:ln>
          <a:effectLst/>
        </c:spPr>
      </c:pivotFmt>
      <c:pivotFmt>
        <c:idx val="118"/>
        <c:spPr>
          <a:solidFill>
            <a:schemeClr val="accent1"/>
          </a:solidFill>
          <a:ln w="19050">
            <a:solidFill>
              <a:schemeClr val="lt1"/>
            </a:solidFill>
          </a:ln>
          <a:effectLst/>
        </c:spPr>
      </c:pivotFmt>
      <c:pivotFmt>
        <c:idx val="119"/>
        <c:spPr>
          <a:solidFill>
            <a:schemeClr val="accent1"/>
          </a:solidFill>
          <a:ln w="19050">
            <a:solidFill>
              <a:schemeClr val="lt1"/>
            </a:solidFill>
          </a:ln>
          <a:effectLst/>
        </c:spPr>
      </c:pivotFmt>
      <c:pivotFmt>
        <c:idx val="120"/>
        <c:spPr>
          <a:solidFill>
            <a:schemeClr val="accent1"/>
          </a:solidFill>
          <a:ln w="19050">
            <a:solidFill>
              <a:schemeClr val="lt1"/>
            </a:solidFill>
          </a:ln>
          <a:effectLst/>
        </c:spPr>
      </c:pivotFmt>
      <c:pivotFmt>
        <c:idx val="121"/>
        <c:spPr>
          <a:solidFill>
            <a:schemeClr val="accent1"/>
          </a:solidFill>
          <a:ln w="19050">
            <a:solidFill>
              <a:schemeClr val="lt1"/>
            </a:solidFill>
          </a:ln>
          <a:effectLst/>
        </c:spPr>
      </c:pivotFmt>
      <c:pivotFmt>
        <c:idx val="122"/>
        <c:spPr>
          <a:solidFill>
            <a:schemeClr val="accent1"/>
          </a:solidFill>
          <a:ln w="19050">
            <a:solidFill>
              <a:schemeClr val="lt1"/>
            </a:solidFill>
          </a:ln>
          <a:effectLst/>
        </c:spPr>
      </c:pivotFmt>
      <c:pivotFmt>
        <c:idx val="123"/>
        <c:spPr>
          <a:solidFill>
            <a:schemeClr val="accent1"/>
          </a:solidFill>
          <a:ln w="19050">
            <a:solidFill>
              <a:schemeClr val="lt1"/>
            </a:solidFill>
          </a:ln>
          <a:effectLst/>
        </c:spPr>
      </c:pivotFmt>
      <c:pivotFmt>
        <c:idx val="124"/>
        <c:spPr>
          <a:solidFill>
            <a:schemeClr val="accent1"/>
          </a:solidFill>
          <a:ln w="19050">
            <a:solidFill>
              <a:schemeClr val="lt1"/>
            </a:solidFill>
          </a:ln>
          <a:effectLst/>
        </c:spPr>
      </c:pivotFmt>
      <c:pivotFmt>
        <c:idx val="125"/>
        <c:spPr>
          <a:solidFill>
            <a:schemeClr val="accent1"/>
          </a:solidFill>
          <a:ln w="19050">
            <a:solidFill>
              <a:schemeClr val="lt1"/>
            </a:solidFill>
          </a:ln>
          <a:effectLst/>
        </c:spPr>
      </c:pivotFmt>
      <c:pivotFmt>
        <c:idx val="126"/>
        <c:spPr>
          <a:solidFill>
            <a:schemeClr val="accent1"/>
          </a:solidFill>
          <a:ln w="19050">
            <a:solidFill>
              <a:schemeClr val="lt1"/>
            </a:solidFill>
          </a:ln>
          <a:effectLst/>
        </c:spPr>
      </c:pivotFmt>
      <c:pivotFmt>
        <c:idx val="127"/>
        <c:spPr>
          <a:solidFill>
            <a:schemeClr val="accent1"/>
          </a:solidFill>
          <a:ln w="19050">
            <a:solidFill>
              <a:schemeClr val="lt1"/>
            </a:solidFill>
          </a:ln>
          <a:effectLst/>
        </c:spPr>
      </c:pivotFmt>
      <c:pivotFmt>
        <c:idx val="128"/>
        <c:spPr>
          <a:solidFill>
            <a:schemeClr val="accent1"/>
          </a:solidFill>
          <a:ln w="19050">
            <a:solidFill>
              <a:schemeClr val="lt1"/>
            </a:solidFill>
          </a:ln>
          <a:effectLst/>
        </c:spPr>
      </c:pivotFmt>
      <c:pivotFmt>
        <c:idx val="129"/>
        <c:spPr>
          <a:solidFill>
            <a:schemeClr val="accent1"/>
          </a:solidFill>
          <a:ln w="19050">
            <a:solidFill>
              <a:schemeClr val="lt1"/>
            </a:solidFill>
          </a:ln>
          <a:effectLst/>
        </c:spPr>
      </c:pivotFmt>
      <c:pivotFmt>
        <c:idx val="130"/>
        <c:spPr>
          <a:solidFill>
            <a:schemeClr val="accent1"/>
          </a:solidFill>
          <a:ln w="19050">
            <a:solidFill>
              <a:schemeClr val="lt1"/>
            </a:solidFill>
          </a:ln>
          <a:effectLst/>
        </c:spPr>
      </c:pivotFmt>
      <c:pivotFmt>
        <c:idx val="131"/>
        <c:spPr>
          <a:solidFill>
            <a:schemeClr val="accent1"/>
          </a:solidFill>
          <a:ln w="19050">
            <a:solidFill>
              <a:schemeClr val="lt1"/>
            </a:solidFill>
          </a:ln>
          <a:effectLst/>
        </c:spPr>
      </c:pivotFmt>
      <c:pivotFmt>
        <c:idx val="132"/>
        <c:spPr>
          <a:solidFill>
            <a:schemeClr val="accent1"/>
          </a:solidFill>
          <a:ln w="19050">
            <a:solidFill>
              <a:schemeClr val="lt1"/>
            </a:solidFill>
          </a:ln>
          <a:effectLst/>
        </c:spPr>
      </c:pivotFmt>
      <c:pivotFmt>
        <c:idx val="133"/>
        <c:spPr>
          <a:solidFill>
            <a:schemeClr val="accent1"/>
          </a:solidFill>
          <a:ln w="19050">
            <a:solidFill>
              <a:schemeClr val="lt1"/>
            </a:solidFill>
          </a:ln>
          <a:effectLst/>
        </c:spPr>
      </c:pivotFmt>
      <c:pivotFmt>
        <c:idx val="134"/>
        <c:spPr>
          <a:solidFill>
            <a:schemeClr val="accent1"/>
          </a:solidFill>
          <a:ln w="19050">
            <a:solidFill>
              <a:schemeClr val="lt1"/>
            </a:solidFill>
          </a:ln>
          <a:effectLst/>
        </c:spPr>
      </c:pivotFmt>
      <c:pivotFmt>
        <c:idx val="135"/>
        <c:spPr>
          <a:solidFill>
            <a:schemeClr val="accent1"/>
          </a:solidFill>
          <a:ln w="19050">
            <a:solidFill>
              <a:schemeClr val="lt1"/>
            </a:solidFill>
          </a:ln>
          <a:effectLst/>
        </c:spPr>
      </c:pivotFmt>
      <c:pivotFmt>
        <c:idx val="136"/>
        <c:spPr>
          <a:solidFill>
            <a:schemeClr val="accent1"/>
          </a:solidFill>
          <a:ln w="19050">
            <a:solidFill>
              <a:schemeClr val="lt1"/>
            </a:solidFill>
          </a:ln>
          <a:effectLst/>
        </c:spPr>
      </c:pivotFmt>
      <c:pivotFmt>
        <c:idx val="137"/>
        <c:spPr>
          <a:solidFill>
            <a:schemeClr val="accent1"/>
          </a:solidFill>
          <a:ln w="19050">
            <a:solidFill>
              <a:schemeClr val="lt1"/>
            </a:solidFill>
          </a:ln>
          <a:effectLst/>
        </c:spPr>
      </c:pivotFmt>
      <c:pivotFmt>
        <c:idx val="138"/>
        <c:spPr>
          <a:solidFill>
            <a:schemeClr val="accent1"/>
          </a:solidFill>
          <a:ln w="19050">
            <a:solidFill>
              <a:schemeClr val="lt1"/>
            </a:solidFill>
          </a:ln>
          <a:effectLst/>
        </c:spPr>
      </c:pivotFmt>
      <c:pivotFmt>
        <c:idx val="139"/>
        <c:spPr>
          <a:solidFill>
            <a:schemeClr val="accent1"/>
          </a:solidFill>
          <a:ln w="19050">
            <a:solidFill>
              <a:schemeClr val="lt1"/>
            </a:solidFill>
          </a:ln>
          <a:effectLst/>
        </c:spPr>
      </c:pivotFmt>
      <c:pivotFmt>
        <c:idx val="140"/>
        <c:spPr>
          <a:solidFill>
            <a:schemeClr val="accent1"/>
          </a:solidFill>
          <a:ln w="19050">
            <a:solidFill>
              <a:schemeClr val="lt1"/>
            </a:solidFill>
          </a:ln>
          <a:effectLst/>
        </c:spPr>
      </c:pivotFmt>
      <c:pivotFmt>
        <c:idx val="141"/>
        <c:spPr>
          <a:solidFill>
            <a:schemeClr val="accent1"/>
          </a:solidFill>
          <a:ln w="19050">
            <a:solidFill>
              <a:schemeClr val="lt1"/>
            </a:solidFill>
          </a:ln>
          <a:effectLst/>
        </c:spPr>
      </c:pivotFmt>
      <c:pivotFmt>
        <c:idx val="142"/>
        <c:spPr>
          <a:solidFill>
            <a:schemeClr val="accent1"/>
          </a:solidFill>
          <a:ln w="19050">
            <a:solidFill>
              <a:schemeClr val="lt1"/>
            </a:solidFill>
          </a:ln>
          <a:effectLst/>
        </c:spPr>
      </c:pivotFmt>
      <c:pivotFmt>
        <c:idx val="143"/>
        <c:spPr>
          <a:solidFill>
            <a:schemeClr val="accent1"/>
          </a:solidFill>
          <a:ln w="19050">
            <a:solidFill>
              <a:schemeClr val="lt1"/>
            </a:solidFill>
          </a:ln>
          <a:effectLst/>
        </c:spPr>
      </c:pivotFmt>
      <c:pivotFmt>
        <c:idx val="144"/>
        <c:spPr>
          <a:solidFill>
            <a:schemeClr val="accent1"/>
          </a:solidFill>
          <a:ln w="19050">
            <a:solidFill>
              <a:schemeClr val="lt1"/>
            </a:solidFill>
          </a:ln>
          <a:effectLst/>
        </c:spPr>
      </c:pivotFmt>
      <c:pivotFmt>
        <c:idx val="145"/>
        <c:spPr>
          <a:solidFill>
            <a:schemeClr val="accent1"/>
          </a:solidFill>
          <a:ln w="19050">
            <a:solidFill>
              <a:schemeClr val="lt1"/>
            </a:solidFill>
          </a:ln>
          <a:effectLst/>
        </c:spPr>
      </c:pivotFmt>
      <c:pivotFmt>
        <c:idx val="146"/>
        <c:spPr>
          <a:solidFill>
            <a:schemeClr val="accent1"/>
          </a:solidFill>
          <a:ln w="19050">
            <a:solidFill>
              <a:schemeClr val="lt1"/>
            </a:solidFill>
          </a:ln>
          <a:effectLst/>
        </c:spPr>
      </c:pivotFmt>
      <c:pivotFmt>
        <c:idx val="147"/>
        <c:spPr>
          <a:solidFill>
            <a:schemeClr val="accent1"/>
          </a:solidFill>
          <a:ln w="19050">
            <a:solidFill>
              <a:schemeClr val="lt1"/>
            </a:solidFill>
          </a:ln>
          <a:effectLst/>
        </c:spPr>
      </c:pivotFmt>
      <c:pivotFmt>
        <c:idx val="148"/>
        <c:spPr>
          <a:solidFill>
            <a:schemeClr val="accent1"/>
          </a:solidFill>
          <a:ln w="19050">
            <a:solidFill>
              <a:schemeClr val="lt1"/>
            </a:solidFill>
          </a:ln>
          <a:effectLst/>
        </c:spPr>
      </c:pivotFmt>
      <c:pivotFmt>
        <c:idx val="149"/>
        <c:spPr>
          <a:solidFill>
            <a:schemeClr val="accent1"/>
          </a:solidFill>
          <a:ln w="19050">
            <a:solidFill>
              <a:schemeClr val="lt1"/>
            </a:solidFill>
          </a:ln>
          <a:effectLst/>
        </c:spPr>
      </c:pivotFmt>
      <c:pivotFmt>
        <c:idx val="150"/>
        <c:spPr>
          <a:solidFill>
            <a:schemeClr val="accent1"/>
          </a:solidFill>
          <a:ln w="19050">
            <a:solidFill>
              <a:schemeClr val="lt1"/>
            </a:solidFill>
          </a:ln>
          <a:effectLst/>
        </c:spPr>
      </c:pivotFmt>
      <c:pivotFmt>
        <c:idx val="151"/>
        <c:spPr>
          <a:solidFill>
            <a:schemeClr val="accent1"/>
          </a:solidFill>
          <a:ln w="19050">
            <a:solidFill>
              <a:schemeClr val="lt1"/>
            </a:solidFill>
          </a:ln>
          <a:effectLst/>
        </c:spPr>
      </c:pivotFmt>
      <c:pivotFmt>
        <c:idx val="152"/>
        <c:spPr>
          <a:solidFill>
            <a:schemeClr val="accent1"/>
          </a:solidFill>
          <a:ln w="19050">
            <a:solidFill>
              <a:schemeClr val="lt1"/>
            </a:solidFill>
          </a:ln>
          <a:effectLst/>
        </c:spPr>
      </c:pivotFmt>
      <c:pivotFmt>
        <c:idx val="153"/>
        <c:spPr>
          <a:solidFill>
            <a:schemeClr val="accent1"/>
          </a:solidFill>
          <a:ln w="19050">
            <a:solidFill>
              <a:schemeClr val="lt1"/>
            </a:solidFill>
          </a:ln>
          <a:effectLst/>
        </c:spPr>
      </c:pivotFmt>
      <c:pivotFmt>
        <c:idx val="154"/>
        <c:spPr>
          <a:solidFill>
            <a:schemeClr val="accent1"/>
          </a:solidFill>
          <a:ln w="19050">
            <a:solidFill>
              <a:schemeClr val="lt1"/>
            </a:solidFill>
          </a:ln>
          <a:effectLst/>
        </c:spPr>
      </c:pivotFmt>
      <c:pivotFmt>
        <c:idx val="155"/>
        <c:spPr>
          <a:solidFill>
            <a:schemeClr val="accent1"/>
          </a:solidFill>
          <a:ln w="19050">
            <a:solidFill>
              <a:schemeClr val="lt1"/>
            </a:solidFill>
          </a:ln>
          <a:effectLst/>
        </c:spPr>
      </c:pivotFmt>
      <c:pivotFmt>
        <c:idx val="156"/>
        <c:spPr>
          <a:solidFill>
            <a:schemeClr val="accent1"/>
          </a:solidFill>
          <a:ln w="19050">
            <a:solidFill>
              <a:schemeClr val="lt1"/>
            </a:solidFill>
          </a:ln>
          <a:effectLst/>
        </c:spPr>
      </c:pivotFmt>
      <c:pivotFmt>
        <c:idx val="157"/>
        <c:spPr>
          <a:solidFill>
            <a:schemeClr val="accent1"/>
          </a:solidFill>
          <a:ln w="19050">
            <a:solidFill>
              <a:schemeClr val="lt1"/>
            </a:solidFill>
          </a:ln>
          <a:effectLst/>
        </c:spPr>
      </c:pivotFmt>
      <c:pivotFmt>
        <c:idx val="158"/>
        <c:spPr>
          <a:solidFill>
            <a:schemeClr val="accent1"/>
          </a:solidFill>
          <a:ln w="19050">
            <a:solidFill>
              <a:schemeClr val="lt1"/>
            </a:solidFill>
          </a:ln>
          <a:effectLst/>
        </c:spPr>
      </c:pivotFmt>
      <c:pivotFmt>
        <c:idx val="159"/>
        <c:spPr>
          <a:solidFill>
            <a:schemeClr val="accent1"/>
          </a:solidFill>
          <a:ln w="19050">
            <a:solidFill>
              <a:schemeClr val="lt1"/>
            </a:solidFill>
          </a:ln>
          <a:effectLst/>
        </c:spPr>
      </c:pivotFmt>
      <c:pivotFmt>
        <c:idx val="160"/>
        <c:spPr>
          <a:solidFill>
            <a:schemeClr val="accent1"/>
          </a:solidFill>
          <a:ln w="19050">
            <a:solidFill>
              <a:schemeClr val="lt1"/>
            </a:solidFill>
          </a:ln>
          <a:effectLst/>
        </c:spPr>
      </c:pivotFmt>
      <c:pivotFmt>
        <c:idx val="161"/>
        <c:spPr>
          <a:solidFill>
            <a:schemeClr val="accent1"/>
          </a:solidFill>
          <a:ln w="19050">
            <a:solidFill>
              <a:schemeClr val="lt1"/>
            </a:solidFill>
          </a:ln>
          <a:effectLst/>
        </c:spPr>
      </c:pivotFmt>
      <c:pivotFmt>
        <c:idx val="162"/>
        <c:spPr>
          <a:solidFill>
            <a:schemeClr val="accent1"/>
          </a:solidFill>
          <a:ln w="19050">
            <a:solidFill>
              <a:schemeClr val="lt1"/>
            </a:solidFill>
          </a:ln>
          <a:effectLst/>
        </c:spPr>
      </c:pivotFmt>
      <c:pivotFmt>
        <c:idx val="163"/>
        <c:spPr>
          <a:solidFill>
            <a:schemeClr val="accent1"/>
          </a:solidFill>
          <a:ln w="19050">
            <a:solidFill>
              <a:schemeClr val="lt1"/>
            </a:solidFill>
          </a:ln>
          <a:effectLst/>
        </c:spPr>
      </c:pivotFmt>
      <c:pivotFmt>
        <c:idx val="164"/>
        <c:spPr>
          <a:solidFill>
            <a:schemeClr val="accent1"/>
          </a:solidFill>
          <a:ln w="19050">
            <a:solidFill>
              <a:schemeClr val="lt1"/>
            </a:solidFill>
          </a:ln>
          <a:effectLst/>
        </c:spPr>
      </c:pivotFmt>
      <c:pivotFmt>
        <c:idx val="165"/>
        <c:spPr>
          <a:solidFill>
            <a:schemeClr val="accent1"/>
          </a:solidFill>
          <a:ln w="19050">
            <a:solidFill>
              <a:schemeClr val="lt1"/>
            </a:solidFill>
          </a:ln>
          <a:effectLst/>
        </c:spPr>
      </c:pivotFmt>
      <c:pivotFmt>
        <c:idx val="166"/>
        <c:spPr>
          <a:solidFill>
            <a:schemeClr val="accent1"/>
          </a:solidFill>
          <a:ln w="19050">
            <a:solidFill>
              <a:schemeClr val="lt1"/>
            </a:solidFill>
          </a:ln>
          <a:effectLst/>
        </c:spPr>
      </c:pivotFmt>
      <c:pivotFmt>
        <c:idx val="167"/>
        <c:spPr>
          <a:solidFill>
            <a:schemeClr val="accent1"/>
          </a:solidFill>
          <a:ln w="19050">
            <a:solidFill>
              <a:schemeClr val="lt1"/>
            </a:solidFill>
          </a:ln>
          <a:effectLst/>
        </c:spPr>
      </c:pivotFmt>
      <c:pivotFmt>
        <c:idx val="168"/>
        <c:spPr>
          <a:solidFill>
            <a:schemeClr val="accent1"/>
          </a:solidFill>
          <a:ln w="19050">
            <a:solidFill>
              <a:schemeClr val="lt1"/>
            </a:solidFill>
          </a:ln>
          <a:effectLst/>
        </c:spPr>
      </c:pivotFmt>
      <c:pivotFmt>
        <c:idx val="169"/>
        <c:spPr>
          <a:solidFill>
            <a:schemeClr val="accent1"/>
          </a:solidFill>
          <a:ln w="19050">
            <a:solidFill>
              <a:schemeClr val="lt1"/>
            </a:solidFill>
          </a:ln>
          <a:effectLst/>
        </c:spPr>
      </c:pivotFmt>
      <c:pivotFmt>
        <c:idx val="170"/>
        <c:spPr>
          <a:solidFill>
            <a:schemeClr val="accent1"/>
          </a:solidFill>
          <a:ln w="19050">
            <a:solidFill>
              <a:schemeClr val="lt1"/>
            </a:solidFill>
          </a:ln>
          <a:effectLst/>
        </c:spPr>
      </c:pivotFmt>
      <c:pivotFmt>
        <c:idx val="171"/>
        <c:spPr>
          <a:solidFill>
            <a:schemeClr val="accent1"/>
          </a:solidFill>
          <a:ln w="19050">
            <a:solidFill>
              <a:schemeClr val="lt1"/>
            </a:solidFill>
          </a:ln>
          <a:effectLst/>
        </c:spPr>
      </c:pivotFmt>
      <c:pivotFmt>
        <c:idx val="172"/>
        <c:spPr>
          <a:solidFill>
            <a:schemeClr val="accent1"/>
          </a:solidFill>
          <a:ln w="19050">
            <a:solidFill>
              <a:schemeClr val="lt1"/>
            </a:solidFill>
          </a:ln>
          <a:effectLst/>
        </c:spPr>
      </c:pivotFmt>
      <c:pivotFmt>
        <c:idx val="173"/>
        <c:spPr>
          <a:solidFill>
            <a:schemeClr val="accent1"/>
          </a:solidFill>
          <a:ln w="19050">
            <a:solidFill>
              <a:schemeClr val="lt1"/>
            </a:solidFill>
          </a:ln>
          <a:effectLst/>
        </c:spPr>
      </c:pivotFmt>
      <c:pivotFmt>
        <c:idx val="174"/>
        <c:spPr>
          <a:solidFill>
            <a:schemeClr val="accent1"/>
          </a:solidFill>
          <a:ln w="19050">
            <a:solidFill>
              <a:schemeClr val="lt1"/>
            </a:solidFill>
          </a:ln>
          <a:effectLst/>
        </c:spPr>
      </c:pivotFmt>
      <c:pivotFmt>
        <c:idx val="175"/>
        <c:spPr>
          <a:solidFill>
            <a:schemeClr val="accent1"/>
          </a:solidFill>
          <a:ln w="19050">
            <a:solidFill>
              <a:schemeClr val="lt1"/>
            </a:solidFill>
          </a:ln>
          <a:effectLst/>
        </c:spPr>
      </c:pivotFmt>
      <c:pivotFmt>
        <c:idx val="176"/>
        <c:spPr>
          <a:solidFill>
            <a:schemeClr val="accent1"/>
          </a:solidFill>
          <a:ln w="19050">
            <a:solidFill>
              <a:schemeClr val="lt1"/>
            </a:solidFill>
          </a:ln>
          <a:effectLst/>
        </c:spPr>
      </c:pivotFmt>
      <c:pivotFmt>
        <c:idx val="177"/>
        <c:spPr>
          <a:solidFill>
            <a:schemeClr val="accent1"/>
          </a:solidFill>
          <a:ln w="19050">
            <a:solidFill>
              <a:schemeClr val="lt1"/>
            </a:solidFill>
          </a:ln>
          <a:effectLst/>
        </c:spPr>
      </c:pivotFmt>
      <c:pivotFmt>
        <c:idx val="178"/>
        <c:spPr>
          <a:solidFill>
            <a:schemeClr val="accent1"/>
          </a:solidFill>
          <a:ln w="19050">
            <a:solidFill>
              <a:schemeClr val="lt1"/>
            </a:solidFill>
          </a:ln>
          <a:effectLst/>
        </c:spPr>
      </c:pivotFmt>
      <c:pivotFmt>
        <c:idx val="179"/>
        <c:spPr>
          <a:solidFill>
            <a:schemeClr val="accent1"/>
          </a:solidFill>
          <a:ln w="19050">
            <a:solidFill>
              <a:schemeClr val="lt1"/>
            </a:solidFill>
          </a:ln>
          <a:effectLst/>
        </c:spPr>
      </c:pivotFmt>
      <c:pivotFmt>
        <c:idx val="180"/>
        <c:spPr>
          <a:solidFill>
            <a:schemeClr val="accent1"/>
          </a:solidFill>
          <a:ln w="19050">
            <a:solidFill>
              <a:schemeClr val="lt1"/>
            </a:solidFill>
          </a:ln>
          <a:effectLst/>
        </c:spPr>
      </c:pivotFmt>
      <c:pivotFmt>
        <c:idx val="181"/>
        <c:spPr>
          <a:solidFill>
            <a:schemeClr val="accent1"/>
          </a:solidFill>
          <a:ln w="19050">
            <a:solidFill>
              <a:schemeClr val="lt1"/>
            </a:solidFill>
          </a:ln>
          <a:effectLst/>
        </c:spPr>
      </c:pivotFmt>
      <c:pivotFmt>
        <c:idx val="182"/>
        <c:spPr>
          <a:solidFill>
            <a:schemeClr val="accent1"/>
          </a:solidFill>
          <a:ln w="19050">
            <a:solidFill>
              <a:schemeClr val="lt1"/>
            </a:solidFill>
          </a:ln>
          <a:effectLst/>
        </c:spPr>
      </c:pivotFmt>
      <c:pivotFmt>
        <c:idx val="183"/>
        <c:spPr>
          <a:solidFill>
            <a:schemeClr val="accent1"/>
          </a:solidFill>
          <a:ln w="19050">
            <a:solidFill>
              <a:schemeClr val="lt1"/>
            </a:solidFill>
          </a:ln>
          <a:effectLst/>
        </c:spPr>
      </c:pivotFmt>
      <c:pivotFmt>
        <c:idx val="184"/>
        <c:spPr>
          <a:solidFill>
            <a:schemeClr val="accent1"/>
          </a:solidFill>
          <a:ln w="19050">
            <a:solidFill>
              <a:schemeClr val="lt1"/>
            </a:solidFill>
          </a:ln>
          <a:effectLst/>
        </c:spPr>
      </c:pivotFmt>
      <c:pivotFmt>
        <c:idx val="185"/>
        <c:spPr>
          <a:solidFill>
            <a:schemeClr val="accent1"/>
          </a:solidFill>
          <a:ln w="19050">
            <a:solidFill>
              <a:schemeClr val="lt1"/>
            </a:solidFill>
          </a:ln>
          <a:effectLst/>
        </c:spPr>
      </c:pivotFmt>
      <c:pivotFmt>
        <c:idx val="186"/>
        <c:spPr>
          <a:solidFill>
            <a:schemeClr val="accent1"/>
          </a:solidFill>
          <a:ln w="19050">
            <a:solidFill>
              <a:schemeClr val="lt1"/>
            </a:solidFill>
          </a:ln>
          <a:effectLst/>
        </c:spPr>
      </c:pivotFmt>
      <c:pivotFmt>
        <c:idx val="187"/>
        <c:spPr>
          <a:solidFill>
            <a:schemeClr val="accent1"/>
          </a:solidFill>
          <a:ln w="19050">
            <a:solidFill>
              <a:schemeClr val="lt1"/>
            </a:solidFill>
          </a:ln>
          <a:effectLst/>
        </c:spPr>
      </c:pivotFmt>
      <c:pivotFmt>
        <c:idx val="188"/>
        <c:spPr>
          <a:solidFill>
            <a:schemeClr val="accent1"/>
          </a:solidFill>
          <a:ln w="19050">
            <a:solidFill>
              <a:schemeClr val="lt1"/>
            </a:solidFill>
          </a:ln>
          <a:effectLst/>
        </c:spPr>
      </c:pivotFmt>
      <c:pivotFmt>
        <c:idx val="189"/>
        <c:spPr>
          <a:solidFill>
            <a:schemeClr val="accent1"/>
          </a:solidFill>
          <a:ln w="19050">
            <a:solidFill>
              <a:schemeClr val="lt1"/>
            </a:solidFill>
          </a:ln>
          <a:effectLst/>
        </c:spPr>
      </c:pivotFmt>
      <c:pivotFmt>
        <c:idx val="190"/>
        <c:spPr>
          <a:solidFill>
            <a:schemeClr val="accent1"/>
          </a:solidFill>
          <a:ln w="19050">
            <a:solidFill>
              <a:schemeClr val="lt1"/>
            </a:solidFill>
          </a:ln>
          <a:effectLst/>
        </c:spPr>
      </c:pivotFmt>
      <c:pivotFmt>
        <c:idx val="191"/>
        <c:spPr>
          <a:solidFill>
            <a:schemeClr val="accent1"/>
          </a:solidFill>
          <a:ln w="19050">
            <a:solidFill>
              <a:schemeClr val="lt1"/>
            </a:solidFill>
          </a:ln>
          <a:effectLst/>
        </c:spPr>
      </c:pivotFmt>
      <c:pivotFmt>
        <c:idx val="192"/>
        <c:spPr>
          <a:solidFill>
            <a:schemeClr val="accent1"/>
          </a:solidFill>
          <a:ln w="19050">
            <a:solidFill>
              <a:schemeClr val="lt1"/>
            </a:solidFill>
          </a:ln>
          <a:effectLst/>
        </c:spPr>
      </c:pivotFmt>
      <c:pivotFmt>
        <c:idx val="193"/>
        <c:spPr>
          <a:solidFill>
            <a:schemeClr val="accent1"/>
          </a:solidFill>
          <a:ln w="19050">
            <a:solidFill>
              <a:schemeClr val="lt1"/>
            </a:solidFill>
          </a:ln>
          <a:effectLst/>
        </c:spPr>
      </c:pivotFmt>
      <c:pivotFmt>
        <c:idx val="194"/>
        <c:spPr>
          <a:solidFill>
            <a:schemeClr val="accent1"/>
          </a:solidFill>
          <a:ln w="19050">
            <a:solidFill>
              <a:schemeClr val="lt1"/>
            </a:solidFill>
          </a:ln>
          <a:effectLst/>
        </c:spPr>
      </c:pivotFmt>
      <c:pivotFmt>
        <c:idx val="195"/>
        <c:spPr>
          <a:solidFill>
            <a:schemeClr val="accent1"/>
          </a:solidFill>
          <a:ln w="19050">
            <a:solidFill>
              <a:schemeClr val="lt1"/>
            </a:solidFill>
          </a:ln>
          <a:effectLst/>
        </c:spPr>
      </c:pivotFmt>
      <c:pivotFmt>
        <c:idx val="196"/>
        <c:spPr>
          <a:solidFill>
            <a:schemeClr val="accent1"/>
          </a:solidFill>
          <a:ln w="19050">
            <a:solidFill>
              <a:schemeClr val="lt1"/>
            </a:solidFill>
          </a:ln>
          <a:effectLst/>
        </c:spPr>
      </c:pivotFmt>
      <c:pivotFmt>
        <c:idx val="197"/>
        <c:spPr>
          <a:solidFill>
            <a:schemeClr val="accent1"/>
          </a:solidFill>
          <a:ln w="19050">
            <a:solidFill>
              <a:schemeClr val="lt1"/>
            </a:solidFill>
          </a:ln>
          <a:effectLst/>
        </c:spPr>
      </c:pivotFmt>
      <c:pivotFmt>
        <c:idx val="198"/>
        <c:spPr>
          <a:solidFill>
            <a:schemeClr val="accent1"/>
          </a:solidFill>
          <a:ln w="19050">
            <a:solidFill>
              <a:schemeClr val="lt1"/>
            </a:solidFill>
          </a:ln>
          <a:effectLst/>
        </c:spPr>
      </c:pivotFmt>
      <c:pivotFmt>
        <c:idx val="199"/>
        <c:spPr>
          <a:solidFill>
            <a:schemeClr val="accent1"/>
          </a:solidFill>
          <a:ln w="19050">
            <a:solidFill>
              <a:schemeClr val="lt1"/>
            </a:solidFill>
          </a:ln>
          <a:effectLst/>
        </c:spPr>
      </c:pivotFmt>
      <c:pivotFmt>
        <c:idx val="200"/>
        <c:spPr>
          <a:solidFill>
            <a:schemeClr val="accent1"/>
          </a:solidFill>
          <a:ln w="19050">
            <a:solidFill>
              <a:schemeClr val="lt1"/>
            </a:solidFill>
          </a:ln>
          <a:effectLst/>
        </c:spPr>
      </c:pivotFmt>
      <c:pivotFmt>
        <c:idx val="201"/>
        <c:spPr>
          <a:solidFill>
            <a:schemeClr val="accent1"/>
          </a:solidFill>
          <a:ln w="19050">
            <a:solidFill>
              <a:schemeClr val="lt1"/>
            </a:solidFill>
          </a:ln>
          <a:effectLst/>
        </c:spPr>
      </c:pivotFmt>
      <c:pivotFmt>
        <c:idx val="202"/>
        <c:spPr>
          <a:solidFill>
            <a:schemeClr val="accent1"/>
          </a:solidFill>
          <a:ln w="19050">
            <a:solidFill>
              <a:schemeClr val="lt1"/>
            </a:solidFill>
          </a:ln>
          <a:effectLst/>
        </c:spPr>
      </c:pivotFmt>
      <c:pivotFmt>
        <c:idx val="203"/>
        <c:spPr>
          <a:solidFill>
            <a:schemeClr val="accent1"/>
          </a:solidFill>
          <a:ln w="19050">
            <a:solidFill>
              <a:schemeClr val="lt1"/>
            </a:solidFill>
          </a:ln>
          <a:effectLst/>
        </c:spPr>
      </c:pivotFmt>
      <c:pivotFmt>
        <c:idx val="204"/>
        <c:spPr>
          <a:solidFill>
            <a:schemeClr val="accent1"/>
          </a:solidFill>
          <a:ln w="19050">
            <a:solidFill>
              <a:schemeClr val="lt1"/>
            </a:solidFill>
          </a:ln>
          <a:effectLst/>
        </c:spPr>
      </c:pivotFmt>
      <c:pivotFmt>
        <c:idx val="205"/>
        <c:spPr>
          <a:solidFill>
            <a:schemeClr val="accent1"/>
          </a:solidFill>
          <a:ln w="19050">
            <a:solidFill>
              <a:schemeClr val="lt1"/>
            </a:solidFill>
          </a:ln>
          <a:effectLst/>
        </c:spPr>
      </c:pivotFmt>
      <c:pivotFmt>
        <c:idx val="206"/>
        <c:spPr>
          <a:solidFill>
            <a:schemeClr val="accent1"/>
          </a:solidFill>
          <a:ln w="19050">
            <a:solidFill>
              <a:schemeClr val="lt1"/>
            </a:solidFill>
          </a:ln>
          <a:effectLst/>
        </c:spPr>
      </c:pivotFmt>
      <c:pivotFmt>
        <c:idx val="207"/>
        <c:spPr>
          <a:solidFill>
            <a:schemeClr val="accent1"/>
          </a:solidFill>
          <a:ln w="19050">
            <a:solidFill>
              <a:schemeClr val="lt1"/>
            </a:solidFill>
          </a:ln>
          <a:effectLst/>
        </c:spPr>
      </c:pivotFmt>
      <c:pivotFmt>
        <c:idx val="208"/>
        <c:spPr>
          <a:solidFill>
            <a:schemeClr val="accent1"/>
          </a:solidFill>
          <a:ln w="19050">
            <a:solidFill>
              <a:schemeClr val="lt1"/>
            </a:solidFill>
          </a:ln>
          <a:effectLst/>
        </c:spPr>
        <c:marker>
          <c:symbol val="none"/>
        </c:marker>
      </c:pivotFmt>
      <c:pivotFmt>
        <c:idx val="209"/>
        <c:spPr>
          <a:solidFill>
            <a:schemeClr val="accent1"/>
          </a:solidFill>
          <a:ln w="19050">
            <a:solidFill>
              <a:schemeClr val="lt1"/>
            </a:solidFill>
          </a:ln>
          <a:effectLst/>
        </c:spPr>
      </c:pivotFmt>
      <c:pivotFmt>
        <c:idx val="210"/>
        <c:spPr>
          <a:solidFill>
            <a:schemeClr val="accent1"/>
          </a:solidFill>
          <a:ln w="19050">
            <a:solidFill>
              <a:schemeClr val="lt1"/>
            </a:solidFill>
          </a:ln>
          <a:effectLst/>
        </c:spPr>
      </c:pivotFmt>
      <c:pivotFmt>
        <c:idx val="211"/>
        <c:spPr>
          <a:solidFill>
            <a:schemeClr val="accent1"/>
          </a:solidFill>
          <a:ln w="19050">
            <a:solidFill>
              <a:schemeClr val="lt1"/>
            </a:solidFill>
          </a:ln>
          <a:effectLst/>
        </c:spPr>
      </c:pivotFmt>
      <c:pivotFmt>
        <c:idx val="212"/>
        <c:spPr>
          <a:solidFill>
            <a:schemeClr val="accent1"/>
          </a:solidFill>
          <a:ln w="19050">
            <a:solidFill>
              <a:schemeClr val="lt1"/>
            </a:solidFill>
          </a:ln>
          <a:effectLst/>
        </c:spPr>
      </c:pivotFmt>
      <c:pivotFmt>
        <c:idx val="213"/>
        <c:spPr>
          <a:solidFill>
            <a:schemeClr val="accent1"/>
          </a:solidFill>
          <a:ln w="19050">
            <a:solidFill>
              <a:schemeClr val="lt1"/>
            </a:solidFill>
          </a:ln>
          <a:effectLst/>
        </c:spPr>
      </c:pivotFmt>
      <c:pivotFmt>
        <c:idx val="214"/>
        <c:spPr>
          <a:solidFill>
            <a:schemeClr val="accent1"/>
          </a:solidFill>
          <a:ln w="19050">
            <a:solidFill>
              <a:schemeClr val="lt1"/>
            </a:solidFill>
          </a:ln>
          <a:effectLst/>
        </c:spPr>
      </c:pivotFmt>
      <c:pivotFmt>
        <c:idx val="215"/>
        <c:spPr>
          <a:solidFill>
            <a:schemeClr val="accent1"/>
          </a:solidFill>
          <a:ln w="19050">
            <a:solidFill>
              <a:schemeClr val="lt1"/>
            </a:solidFill>
          </a:ln>
          <a:effectLst/>
        </c:spPr>
      </c:pivotFmt>
      <c:pivotFmt>
        <c:idx val="216"/>
        <c:spPr>
          <a:solidFill>
            <a:schemeClr val="accent1"/>
          </a:solidFill>
          <a:ln w="19050">
            <a:solidFill>
              <a:schemeClr val="lt1"/>
            </a:solidFill>
          </a:ln>
          <a:effectLst/>
        </c:spPr>
      </c:pivotFmt>
      <c:pivotFmt>
        <c:idx val="217"/>
        <c:spPr>
          <a:solidFill>
            <a:schemeClr val="accent1"/>
          </a:solidFill>
          <a:ln w="19050">
            <a:solidFill>
              <a:schemeClr val="lt1"/>
            </a:solidFill>
          </a:ln>
          <a:effectLst/>
        </c:spPr>
      </c:pivotFmt>
      <c:pivotFmt>
        <c:idx val="218"/>
        <c:spPr>
          <a:solidFill>
            <a:schemeClr val="accent1"/>
          </a:solidFill>
          <a:ln w="19050">
            <a:solidFill>
              <a:schemeClr val="lt1"/>
            </a:solidFill>
          </a:ln>
          <a:effectLst/>
        </c:spPr>
      </c:pivotFmt>
      <c:pivotFmt>
        <c:idx val="219"/>
        <c:spPr>
          <a:solidFill>
            <a:schemeClr val="accent1"/>
          </a:solidFill>
          <a:ln w="19050">
            <a:solidFill>
              <a:schemeClr val="lt1"/>
            </a:solidFill>
          </a:ln>
          <a:effectLst/>
        </c:spPr>
      </c:pivotFmt>
      <c:pivotFmt>
        <c:idx val="220"/>
        <c:spPr>
          <a:solidFill>
            <a:schemeClr val="accent1"/>
          </a:solidFill>
          <a:ln w="19050">
            <a:solidFill>
              <a:schemeClr val="lt1"/>
            </a:solidFill>
          </a:ln>
          <a:effectLst/>
        </c:spPr>
        <c:marker>
          <c:symbol val="none"/>
        </c:marker>
      </c:pivotFmt>
      <c:pivotFmt>
        <c:idx val="221"/>
        <c:spPr>
          <a:solidFill>
            <a:schemeClr val="accent1"/>
          </a:solidFill>
          <a:ln w="19050">
            <a:solidFill>
              <a:schemeClr val="lt1"/>
            </a:solidFill>
          </a:ln>
          <a:effectLst/>
        </c:spPr>
      </c:pivotFmt>
      <c:pivotFmt>
        <c:idx val="222"/>
        <c:spPr>
          <a:solidFill>
            <a:schemeClr val="accent1"/>
          </a:solidFill>
          <a:ln w="19050">
            <a:solidFill>
              <a:schemeClr val="lt1"/>
            </a:solidFill>
          </a:ln>
          <a:effectLst/>
        </c:spPr>
      </c:pivotFmt>
      <c:pivotFmt>
        <c:idx val="223"/>
        <c:spPr>
          <a:solidFill>
            <a:schemeClr val="accent1"/>
          </a:solidFill>
          <a:ln w="19050">
            <a:solidFill>
              <a:schemeClr val="lt1"/>
            </a:solidFill>
          </a:ln>
          <a:effectLst/>
        </c:spPr>
      </c:pivotFmt>
      <c:pivotFmt>
        <c:idx val="224"/>
        <c:spPr>
          <a:solidFill>
            <a:schemeClr val="accent1"/>
          </a:solidFill>
          <a:ln w="19050">
            <a:solidFill>
              <a:schemeClr val="lt1"/>
            </a:solidFill>
          </a:ln>
          <a:effectLst/>
        </c:spPr>
      </c:pivotFmt>
      <c:pivotFmt>
        <c:idx val="225"/>
        <c:spPr>
          <a:solidFill>
            <a:schemeClr val="accent1"/>
          </a:solidFill>
          <a:ln w="19050">
            <a:solidFill>
              <a:schemeClr val="lt1"/>
            </a:solidFill>
          </a:ln>
          <a:effectLst/>
        </c:spPr>
      </c:pivotFmt>
      <c:pivotFmt>
        <c:idx val="226"/>
        <c:spPr>
          <a:solidFill>
            <a:schemeClr val="accent1"/>
          </a:solidFill>
          <a:ln w="19050">
            <a:solidFill>
              <a:schemeClr val="lt1"/>
            </a:solidFill>
          </a:ln>
          <a:effectLst/>
        </c:spPr>
      </c:pivotFmt>
      <c:pivotFmt>
        <c:idx val="227"/>
        <c:spPr>
          <a:solidFill>
            <a:schemeClr val="accent1"/>
          </a:solidFill>
          <a:ln w="19050">
            <a:solidFill>
              <a:schemeClr val="lt1"/>
            </a:solidFill>
          </a:ln>
          <a:effectLst/>
        </c:spPr>
      </c:pivotFmt>
      <c:pivotFmt>
        <c:idx val="228"/>
        <c:spPr>
          <a:solidFill>
            <a:schemeClr val="accent1"/>
          </a:solidFill>
          <a:ln w="19050">
            <a:solidFill>
              <a:schemeClr val="lt1"/>
            </a:solidFill>
          </a:ln>
          <a:effectLst/>
        </c:spPr>
      </c:pivotFmt>
      <c:pivotFmt>
        <c:idx val="229"/>
        <c:spPr>
          <a:solidFill>
            <a:schemeClr val="accent1"/>
          </a:solidFill>
          <a:ln w="19050">
            <a:solidFill>
              <a:schemeClr val="lt1"/>
            </a:solidFill>
          </a:ln>
          <a:effectLst/>
        </c:spPr>
      </c:pivotFmt>
      <c:pivotFmt>
        <c:idx val="230"/>
        <c:spPr>
          <a:solidFill>
            <a:schemeClr val="accent1"/>
          </a:solidFill>
          <a:ln w="19050">
            <a:solidFill>
              <a:schemeClr val="lt1"/>
            </a:solidFill>
          </a:ln>
          <a:effectLst/>
        </c:spPr>
      </c:pivotFmt>
      <c:pivotFmt>
        <c:idx val="231"/>
        <c:spPr>
          <a:solidFill>
            <a:schemeClr val="accent1"/>
          </a:solidFill>
          <a:ln w="19050">
            <a:solidFill>
              <a:schemeClr val="lt1"/>
            </a:solidFill>
          </a:ln>
          <a:effectLst/>
        </c:spPr>
      </c:pivotFmt>
      <c:pivotFmt>
        <c:idx val="232"/>
        <c:spPr>
          <a:solidFill>
            <a:schemeClr val="accent1"/>
          </a:solidFill>
          <a:ln w="19050">
            <a:solidFill>
              <a:schemeClr val="lt1"/>
            </a:solidFill>
          </a:ln>
          <a:effectLst/>
        </c:spPr>
        <c:marker>
          <c:symbol val="none"/>
        </c:marker>
      </c:pivotFmt>
      <c:pivotFmt>
        <c:idx val="233"/>
        <c:spPr>
          <a:solidFill>
            <a:schemeClr val="accent1"/>
          </a:solidFill>
          <a:ln w="19050">
            <a:solidFill>
              <a:schemeClr val="lt1"/>
            </a:solidFill>
          </a:ln>
          <a:effectLst/>
        </c:spPr>
      </c:pivotFmt>
      <c:pivotFmt>
        <c:idx val="234"/>
        <c:spPr>
          <a:solidFill>
            <a:schemeClr val="accent1"/>
          </a:solidFill>
          <a:ln w="19050">
            <a:solidFill>
              <a:schemeClr val="lt1"/>
            </a:solidFill>
          </a:ln>
          <a:effectLst/>
        </c:spPr>
      </c:pivotFmt>
      <c:pivotFmt>
        <c:idx val="235"/>
        <c:spPr>
          <a:solidFill>
            <a:schemeClr val="accent1"/>
          </a:solidFill>
          <a:ln w="19050">
            <a:solidFill>
              <a:schemeClr val="lt1"/>
            </a:solidFill>
          </a:ln>
          <a:effectLst/>
        </c:spPr>
      </c:pivotFmt>
      <c:pivotFmt>
        <c:idx val="236"/>
        <c:spPr>
          <a:solidFill>
            <a:schemeClr val="accent1"/>
          </a:solidFill>
          <a:ln w="19050">
            <a:solidFill>
              <a:schemeClr val="lt1"/>
            </a:solidFill>
          </a:ln>
          <a:effectLst/>
        </c:spPr>
      </c:pivotFmt>
      <c:pivotFmt>
        <c:idx val="237"/>
        <c:spPr>
          <a:solidFill>
            <a:schemeClr val="accent1"/>
          </a:solidFill>
          <a:ln w="19050">
            <a:solidFill>
              <a:schemeClr val="lt1"/>
            </a:solidFill>
          </a:ln>
          <a:effectLst/>
        </c:spPr>
      </c:pivotFmt>
      <c:pivotFmt>
        <c:idx val="238"/>
        <c:spPr>
          <a:solidFill>
            <a:schemeClr val="accent1"/>
          </a:solidFill>
          <a:ln w="19050">
            <a:solidFill>
              <a:schemeClr val="lt1"/>
            </a:solidFill>
          </a:ln>
          <a:effectLst/>
        </c:spPr>
      </c:pivotFmt>
      <c:pivotFmt>
        <c:idx val="239"/>
        <c:spPr>
          <a:solidFill>
            <a:schemeClr val="accent1"/>
          </a:solidFill>
          <a:ln w="19050">
            <a:solidFill>
              <a:schemeClr val="lt1"/>
            </a:solidFill>
          </a:ln>
          <a:effectLst/>
        </c:spPr>
      </c:pivotFmt>
      <c:pivotFmt>
        <c:idx val="240"/>
        <c:spPr>
          <a:solidFill>
            <a:schemeClr val="accent1"/>
          </a:solidFill>
          <a:ln w="19050">
            <a:solidFill>
              <a:schemeClr val="lt1"/>
            </a:solidFill>
          </a:ln>
          <a:effectLst/>
        </c:spPr>
      </c:pivotFmt>
      <c:pivotFmt>
        <c:idx val="241"/>
        <c:spPr>
          <a:solidFill>
            <a:schemeClr val="accent1"/>
          </a:solidFill>
          <a:ln w="19050">
            <a:solidFill>
              <a:schemeClr val="lt1"/>
            </a:solidFill>
          </a:ln>
          <a:effectLst/>
        </c:spPr>
      </c:pivotFmt>
      <c:pivotFmt>
        <c:idx val="242"/>
        <c:spPr>
          <a:solidFill>
            <a:schemeClr val="accent1"/>
          </a:solidFill>
          <a:ln w="19050">
            <a:solidFill>
              <a:schemeClr val="lt1"/>
            </a:solidFill>
          </a:ln>
          <a:effectLst/>
        </c:spPr>
      </c:pivotFmt>
      <c:pivotFmt>
        <c:idx val="243"/>
        <c:spPr>
          <a:solidFill>
            <a:schemeClr val="accent1"/>
          </a:solidFill>
          <a:ln w="19050">
            <a:solidFill>
              <a:schemeClr val="lt1"/>
            </a:solidFill>
          </a:ln>
          <a:effectLst/>
        </c:spPr>
      </c:pivotFmt>
      <c:pivotFmt>
        <c:idx val="244"/>
        <c:spPr>
          <a:solidFill>
            <a:schemeClr val="accent1"/>
          </a:solidFill>
          <a:ln w="19050">
            <a:solidFill>
              <a:schemeClr val="lt1"/>
            </a:solidFill>
          </a:ln>
          <a:effectLst/>
        </c:spPr>
        <c:marker>
          <c:symbol val="none"/>
        </c:marker>
      </c:pivotFmt>
      <c:pivotFmt>
        <c:idx val="245"/>
        <c:spPr>
          <a:solidFill>
            <a:schemeClr val="accent1"/>
          </a:solidFill>
          <a:ln w="19050">
            <a:solidFill>
              <a:schemeClr val="lt1"/>
            </a:solidFill>
          </a:ln>
          <a:effectLst/>
        </c:spPr>
      </c:pivotFmt>
      <c:pivotFmt>
        <c:idx val="246"/>
        <c:spPr>
          <a:solidFill>
            <a:schemeClr val="accent1"/>
          </a:solidFill>
          <a:ln w="19050">
            <a:solidFill>
              <a:schemeClr val="lt1"/>
            </a:solidFill>
          </a:ln>
          <a:effectLst/>
        </c:spPr>
      </c:pivotFmt>
      <c:pivotFmt>
        <c:idx val="247"/>
        <c:spPr>
          <a:solidFill>
            <a:schemeClr val="accent1"/>
          </a:solidFill>
          <a:ln w="19050">
            <a:solidFill>
              <a:schemeClr val="lt1"/>
            </a:solidFill>
          </a:ln>
          <a:effectLst/>
        </c:spPr>
      </c:pivotFmt>
      <c:pivotFmt>
        <c:idx val="248"/>
        <c:spPr>
          <a:solidFill>
            <a:schemeClr val="accent1"/>
          </a:solidFill>
          <a:ln w="19050">
            <a:solidFill>
              <a:schemeClr val="lt1"/>
            </a:solidFill>
          </a:ln>
          <a:effectLst/>
        </c:spPr>
      </c:pivotFmt>
      <c:pivotFmt>
        <c:idx val="249"/>
        <c:spPr>
          <a:solidFill>
            <a:schemeClr val="accent1"/>
          </a:solidFill>
          <a:ln w="19050">
            <a:solidFill>
              <a:schemeClr val="lt1"/>
            </a:solidFill>
          </a:ln>
          <a:effectLst/>
        </c:spPr>
      </c:pivotFmt>
      <c:pivotFmt>
        <c:idx val="250"/>
        <c:spPr>
          <a:solidFill>
            <a:schemeClr val="accent1"/>
          </a:solidFill>
          <a:ln w="19050">
            <a:solidFill>
              <a:schemeClr val="lt1"/>
            </a:solidFill>
          </a:ln>
          <a:effectLst/>
        </c:spPr>
      </c:pivotFmt>
      <c:pivotFmt>
        <c:idx val="251"/>
        <c:spPr>
          <a:solidFill>
            <a:schemeClr val="accent1"/>
          </a:solidFill>
          <a:ln w="19050">
            <a:solidFill>
              <a:schemeClr val="lt1"/>
            </a:solidFill>
          </a:ln>
          <a:effectLst/>
        </c:spPr>
      </c:pivotFmt>
      <c:pivotFmt>
        <c:idx val="252"/>
        <c:spPr>
          <a:solidFill>
            <a:schemeClr val="accent1"/>
          </a:solidFill>
          <a:ln w="19050">
            <a:solidFill>
              <a:schemeClr val="lt1"/>
            </a:solidFill>
          </a:ln>
          <a:effectLst/>
        </c:spPr>
      </c:pivotFmt>
      <c:pivotFmt>
        <c:idx val="253"/>
        <c:spPr>
          <a:solidFill>
            <a:schemeClr val="accent1"/>
          </a:solidFill>
          <a:ln w="19050">
            <a:solidFill>
              <a:schemeClr val="lt1"/>
            </a:solidFill>
          </a:ln>
          <a:effectLst/>
        </c:spPr>
      </c:pivotFmt>
      <c:pivotFmt>
        <c:idx val="254"/>
        <c:spPr>
          <a:solidFill>
            <a:schemeClr val="accent1"/>
          </a:solidFill>
          <a:ln w="19050">
            <a:solidFill>
              <a:schemeClr val="lt1"/>
            </a:solidFill>
          </a:ln>
          <a:effectLst/>
        </c:spPr>
      </c:pivotFmt>
      <c:pivotFmt>
        <c:idx val="255"/>
        <c:spPr>
          <a:solidFill>
            <a:schemeClr val="accent1"/>
          </a:solidFill>
          <a:ln w="19050">
            <a:solidFill>
              <a:schemeClr val="lt1"/>
            </a:solidFill>
          </a:ln>
          <a:effectLst/>
        </c:spPr>
      </c:pivotFmt>
      <c:pivotFmt>
        <c:idx val="256"/>
        <c:spPr>
          <a:solidFill>
            <a:schemeClr val="accent1"/>
          </a:solidFill>
          <a:ln w="19050">
            <a:solidFill>
              <a:schemeClr val="lt1"/>
            </a:solidFill>
          </a:ln>
          <a:effectLst/>
        </c:spPr>
        <c:marker>
          <c:symbol val="none"/>
        </c:marker>
      </c:pivotFmt>
      <c:pivotFmt>
        <c:idx val="257"/>
        <c:spPr>
          <a:solidFill>
            <a:schemeClr val="accent1"/>
          </a:solidFill>
          <a:ln w="19050">
            <a:solidFill>
              <a:schemeClr val="lt1"/>
            </a:solidFill>
          </a:ln>
          <a:effectLst/>
        </c:spPr>
      </c:pivotFmt>
      <c:pivotFmt>
        <c:idx val="258"/>
        <c:spPr>
          <a:solidFill>
            <a:schemeClr val="accent1"/>
          </a:solidFill>
          <a:ln w="19050">
            <a:solidFill>
              <a:schemeClr val="lt1"/>
            </a:solidFill>
          </a:ln>
          <a:effectLst/>
        </c:spPr>
      </c:pivotFmt>
      <c:pivotFmt>
        <c:idx val="259"/>
        <c:spPr>
          <a:solidFill>
            <a:schemeClr val="accent1"/>
          </a:solidFill>
          <a:ln w="19050">
            <a:solidFill>
              <a:schemeClr val="lt1"/>
            </a:solidFill>
          </a:ln>
          <a:effectLst/>
        </c:spPr>
      </c:pivotFmt>
      <c:pivotFmt>
        <c:idx val="260"/>
        <c:spPr>
          <a:solidFill>
            <a:schemeClr val="accent1"/>
          </a:solidFill>
          <a:ln w="19050">
            <a:solidFill>
              <a:schemeClr val="lt1"/>
            </a:solidFill>
          </a:ln>
          <a:effectLst/>
        </c:spPr>
      </c:pivotFmt>
      <c:pivotFmt>
        <c:idx val="261"/>
        <c:spPr>
          <a:solidFill>
            <a:schemeClr val="accent1"/>
          </a:solidFill>
          <a:ln w="19050">
            <a:solidFill>
              <a:schemeClr val="lt1"/>
            </a:solidFill>
          </a:ln>
          <a:effectLst/>
        </c:spPr>
      </c:pivotFmt>
      <c:pivotFmt>
        <c:idx val="262"/>
        <c:spPr>
          <a:solidFill>
            <a:schemeClr val="accent1"/>
          </a:solidFill>
          <a:ln w="19050">
            <a:solidFill>
              <a:schemeClr val="lt1"/>
            </a:solidFill>
          </a:ln>
          <a:effectLst/>
        </c:spPr>
      </c:pivotFmt>
      <c:pivotFmt>
        <c:idx val="263"/>
        <c:spPr>
          <a:solidFill>
            <a:schemeClr val="accent1"/>
          </a:solidFill>
          <a:ln w="19050">
            <a:solidFill>
              <a:schemeClr val="lt1"/>
            </a:solidFill>
          </a:ln>
          <a:effectLst/>
        </c:spPr>
      </c:pivotFmt>
      <c:pivotFmt>
        <c:idx val="264"/>
        <c:spPr>
          <a:solidFill>
            <a:schemeClr val="accent1"/>
          </a:solidFill>
          <a:ln w="19050">
            <a:solidFill>
              <a:schemeClr val="lt1"/>
            </a:solidFill>
          </a:ln>
          <a:effectLst/>
        </c:spPr>
      </c:pivotFmt>
      <c:pivotFmt>
        <c:idx val="265"/>
        <c:spPr>
          <a:solidFill>
            <a:schemeClr val="accent1"/>
          </a:solidFill>
          <a:ln w="19050">
            <a:solidFill>
              <a:schemeClr val="lt1"/>
            </a:solidFill>
          </a:ln>
          <a:effectLst/>
        </c:spPr>
      </c:pivotFmt>
      <c:pivotFmt>
        <c:idx val="266"/>
        <c:spPr>
          <a:solidFill>
            <a:schemeClr val="accent1"/>
          </a:solidFill>
          <a:ln w="19050">
            <a:solidFill>
              <a:schemeClr val="lt1"/>
            </a:solidFill>
          </a:ln>
          <a:effectLst/>
        </c:spPr>
      </c:pivotFmt>
      <c:pivotFmt>
        <c:idx val="267"/>
        <c:spPr>
          <a:solidFill>
            <a:schemeClr val="accent1"/>
          </a:solidFill>
          <a:ln w="19050">
            <a:solidFill>
              <a:schemeClr val="lt1"/>
            </a:solidFill>
          </a:ln>
          <a:effectLst/>
        </c:spPr>
      </c:pivotFmt>
      <c:pivotFmt>
        <c:idx val="268"/>
        <c:spPr>
          <a:solidFill>
            <a:schemeClr val="accent1"/>
          </a:solidFill>
          <a:ln w="19050">
            <a:solidFill>
              <a:schemeClr val="lt1"/>
            </a:solidFill>
          </a:ln>
          <a:effectLst/>
        </c:spPr>
        <c:marker>
          <c:symbol val="none"/>
        </c:marker>
      </c:pivotFmt>
      <c:pivotFmt>
        <c:idx val="269"/>
        <c:spPr>
          <a:solidFill>
            <a:schemeClr val="accent1"/>
          </a:solidFill>
          <a:ln w="19050">
            <a:solidFill>
              <a:schemeClr val="lt1"/>
            </a:solidFill>
          </a:ln>
          <a:effectLst/>
        </c:spPr>
      </c:pivotFmt>
      <c:pivotFmt>
        <c:idx val="270"/>
        <c:spPr>
          <a:solidFill>
            <a:schemeClr val="accent1"/>
          </a:solidFill>
          <a:ln w="19050">
            <a:solidFill>
              <a:schemeClr val="lt1"/>
            </a:solidFill>
          </a:ln>
          <a:effectLst/>
        </c:spPr>
      </c:pivotFmt>
      <c:pivotFmt>
        <c:idx val="271"/>
        <c:spPr>
          <a:solidFill>
            <a:schemeClr val="accent1"/>
          </a:solidFill>
          <a:ln w="19050">
            <a:solidFill>
              <a:schemeClr val="lt1"/>
            </a:solidFill>
          </a:ln>
          <a:effectLst/>
        </c:spPr>
      </c:pivotFmt>
      <c:pivotFmt>
        <c:idx val="272"/>
        <c:spPr>
          <a:solidFill>
            <a:schemeClr val="accent1"/>
          </a:solidFill>
          <a:ln w="19050">
            <a:solidFill>
              <a:schemeClr val="lt1"/>
            </a:solidFill>
          </a:ln>
          <a:effectLst/>
        </c:spPr>
      </c:pivotFmt>
      <c:pivotFmt>
        <c:idx val="273"/>
        <c:spPr>
          <a:solidFill>
            <a:schemeClr val="accent1"/>
          </a:solidFill>
          <a:ln w="19050">
            <a:solidFill>
              <a:schemeClr val="lt1"/>
            </a:solidFill>
          </a:ln>
          <a:effectLst/>
        </c:spPr>
      </c:pivotFmt>
      <c:pivotFmt>
        <c:idx val="274"/>
        <c:spPr>
          <a:solidFill>
            <a:schemeClr val="accent1"/>
          </a:solidFill>
          <a:ln w="19050">
            <a:solidFill>
              <a:schemeClr val="lt1"/>
            </a:solidFill>
          </a:ln>
          <a:effectLst/>
        </c:spPr>
      </c:pivotFmt>
      <c:pivotFmt>
        <c:idx val="275"/>
        <c:spPr>
          <a:solidFill>
            <a:schemeClr val="accent1"/>
          </a:solidFill>
          <a:ln w="19050">
            <a:solidFill>
              <a:schemeClr val="lt1"/>
            </a:solidFill>
          </a:ln>
          <a:effectLst/>
        </c:spPr>
      </c:pivotFmt>
      <c:pivotFmt>
        <c:idx val="276"/>
        <c:spPr>
          <a:solidFill>
            <a:schemeClr val="accent1"/>
          </a:solidFill>
          <a:ln w="19050">
            <a:solidFill>
              <a:schemeClr val="lt1"/>
            </a:solidFill>
          </a:ln>
          <a:effectLst/>
        </c:spPr>
      </c:pivotFmt>
      <c:pivotFmt>
        <c:idx val="277"/>
        <c:spPr>
          <a:solidFill>
            <a:schemeClr val="accent1"/>
          </a:solidFill>
          <a:ln w="19050">
            <a:solidFill>
              <a:schemeClr val="lt1"/>
            </a:solidFill>
          </a:ln>
          <a:effectLst/>
        </c:spPr>
      </c:pivotFmt>
      <c:pivotFmt>
        <c:idx val="278"/>
        <c:spPr>
          <a:solidFill>
            <a:schemeClr val="accent1"/>
          </a:solidFill>
          <a:ln w="19050">
            <a:solidFill>
              <a:schemeClr val="lt1"/>
            </a:solidFill>
          </a:ln>
          <a:effectLst/>
        </c:spPr>
      </c:pivotFmt>
      <c:pivotFmt>
        <c:idx val="279"/>
        <c:spPr>
          <a:solidFill>
            <a:schemeClr val="accent1"/>
          </a:solidFill>
          <a:ln w="19050">
            <a:solidFill>
              <a:schemeClr val="lt1"/>
            </a:solidFill>
          </a:ln>
          <a:effectLst/>
        </c:spPr>
      </c:pivotFmt>
      <c:pivotFmt>
        <c:idx val="280"/>
        <c:spPr>
          <a:solidFill>
            <a:schemeClr val="accent1"/>
          </a:solidFill>
          <a:ln w="19050">
            <a:solidFill>
              <a:schemeClr val="lt1"/>
            </a:solidFill>
          </a:ln>
          <a:effectLst/>
        </c:spPr>
        <c:marker>
          <c:symbol val="none"/>
        </c:marker>
      </c:pivotFmt>
      <c:pivotFmt>
        <c:idx val="281"/>
        <c:spPr>
          <a:solidFill>
            <a:schemeClr val="accent1"/>
          </a:solidFill>
          <a:ln w="19050">
            <a:solidFill>
              <a:schemeClr val="lt1"/>
            </a:solidFill>
          </a:ln>
          <a:effectLst/>
        </c:spPr>
      </c:pivotFmt>
      <c:pivotFmt>
        <c:idx val="282"/>
        <c:spPr>
          <a:solidFill>
            <a:schemeClr val="accent1"/>
          </a:solidFill>
          <a:ln w="19050">
            <a:solidFill>
              <a:schemeClr val="lt1"/>
            </a:solidFill>
          </a:ln>
          <a:effectLst/>
        </c:spPr>
      </c:pivotFmt>
      <c:pivotFmt>
        <c:idx val="283"/>
        <c:spPr>
          <a:solidFill>
            <a:schemeClr val="accent1"/>
          </a:solidFill>
          <a:ln w="19050">
            <a:solidFill>
              <a:schemeClr val="lt1"/>
            </a:solidFill>
          </a:ln>
          <a:effectLst/>
        </c:spPr>
      </c:pivotFmt>
      <c:pivotFmt>
        <c:idx val="284"/>
        <c:spPr>
          <a:solidFill>
            <a:schemeClr val="accent1"/>
          </a:solidFill>
          <a:ln w="19050">
            <a:solidFill>
              <a:schemeClr val="lt1"/>
            </a:solidFill>
          </a:ln>
          <a:effectLst/>
        </c:spPr>
      </c:pivotFmt>
      <c:pivotFmt>
        <c:idx val="285"/>
        <c:spPr>
          <a:solidFill>
            <a:schemeClr val="accent1"/>
          </a:solidFill>
          <a:ln w="19050">
            <a:solidFill>
              <a:schemeClr val="lt1"/>
            </a:solidFill>
          </a:ln>
          <a:effectLst/>
        </c:spPr>
      </c:pivotFmt>
      <c:pivotFmt>
        <c:idx val="286"/>
        <c:spPr>
          <a:solidFill>
            <a:schemeClr val="accent1"/>
          </a:solidFill>
          <a:ln w="19050">
            <a:solidFill>
              <a:schemeClr val="lt1"/>
            </a:solidFill>
          </a:ln>
          <a:effectLst/>
        </c:spPr>
      </c:pivotFmt>
      <c:pivotFmt>
        <c:idx val="287"/>
        <c:spPr>
          <a:solidFill>
            <a:schemeClr val="accent1"/>
          </a:solidFill>
          <a:ln w="19050">
            <a:solidFill>
              <a:schemeClr val="lt1"/>
            </a:solidFill>
          </a:ln>
          <a:effectLst/>
        </c:spPr>
      </c:pivotFmt>
      <c:pivotFmt>
        <c:idx val="288"/>
        <c:spPr>
          <a:solidFill>
            <a:schemeClr val="accent1"/>
          </a:solidFill>
          <a:ln w="19050">
            <a:solidFill>
              <a:schemeClr val="lt1"/>
            </a:solidFill>
          </a:ln>
          <a:effectLst/>
        </c:spPr>
      </c:pivotFmt>
      <c:pivotFmt>
        <c:idx val="289"/>
        <c:spPr>
          <a:solidFill>
            <a:schemeClr val="accent1"/>
          </a:solidFill>
          <a:ln w="19050">
            <a:solidFill>
              <a:schemeClr val="lt1"/>
            </a:solidFill>
          </a:ln>
          <a:effectLst/>
        </c:spPr>
      </c:pivotFmt>
      <c:pivotFmt>
        <c:idx val="290"/>
        <c:spPr>
          <a:solidFill>
            <a:schemeClr val="accent1"/>
          </a:solidFill>
          <a:ln w="19050">
            <a:solidFill>
              <a:schemeClr val="lt1"/>
            </a:solidFill>
          </a:ln>
          <a:effectLst/>
        </c:spPr>
      </c:pivotFmt>
      <c:pivotFmt>
        <c:idx val="291"/>
        <c:spPr>
          <a:solidFill>
            <a:schemeClr val="accent1"/>
          </a:solidFill>
          <a:ln w="19050">
            <a:solidFill>
              <a:schemeClr val="lt1"/>
            </a:solidFill>
          </a:ln>
          <a:effectLst/>
        </c:spPr>
      </c:pivotFmt>
      <c:pivotFmt>
        <c:idx val="292"/>
        <c:spPr>
          <a:solidFill>
            <a:schemeClr val="accent1"/>
          </a:solidFill>
          <a:ln w="19050">
            <a:solidFill>
              <a:schemeClr val="lt1"/>
            </a:solidFill>
          </a:ln>
          <a:effectLst/>
        </c:spPr>
        <c:marker>
          <c:symbol val="none"/>
        </c:marker>
      </c:pivotFmt>
      <c:pivotFmt>
        <c:idx val="293"/>
        <c:spPr>
          <a:solidFill>
            <a:schemeClr val="accent1"/>
          </a:solidFill>
          <a:ln w="19050">
            <a:solidFill>
              <a:schemeClr val="lt1"/>
            </a:solidFill>
          </a:ln>
          <a:effectLst/>
        </c:spPr>
      </c:pivotFmt>
      <c:pivotFmt>
        <c:idx val="294"/>
        <c:spPr>
          <a:solidFill>
            <a:schemeClr val="accent1"/>
          </a:solidFill>
          <a:ln w="19050">
            <a:solidFill>
              <a:schemeClr val="lt1"/>
            </a:solidFill>
          </a:ln>
          <a:effectLst/>
        </c:spPr>
      </c:pivotFmt>
      <c:pivotFmt>
        <c:idx val="295"/>
        <c:spPr>
          <a:solidFill>
            <a:schemeClr val="accent1"/>
          </a:solidFill>
          <a:ln w="19050">
            <a:solidFill>
              <a:schemeClr val="lt1"/>
            </a:solidFill>
          </a:ln>
          <a:effectLst/>
        </c:spPr>
      </c:pivotFmt>
      <c:pivotFmt>
        <c:idx val="296"/>
        <c:spPr>
          <a:solidFill>
            <a:schemeClr val="accent1"/>
          </a:solidFill>
          <a:ln w="19050">
            <a:solidFill>
              <a:schemeClr val="lt1"/>
            </a:solidFill>
          </a:ln>
          <a:effectLst/>
        </c:spPr>
      </c:pivotFmt>
      <c:pivotFmt>
        <c:idx val="297"/>
        <c:spPr>
          <a:solidFill>
            <a:schemeClr val="accent1"/>
          </a:solidFill>
          <a:ln w="19050">
            <a:solidFill>
              <a:schemeClr val="lt1"/>
            </a:solidFill>
          </a:ln>
          <a:effectLst/>
        </c:spPr>
      </c:pivotFmt>
      <c:pivotFmt>
        <c:idx val="298"/>
        <c:spPr>
          <a:solidFill>
            <a:schemeClr val="accent1"/>
          </a:solidFill>
          <a:ln w="19050">
            <a:solidFill>
              <a:schemeClr val="lt1"/>
            </a:solidFill>
          </a:ln>
          <a:effectLst/>
        </c:spPr>
      </c:pivotFmt>
      <c:pivotFmt>
        <c:idx val="299"/>
        <c:spPr>
          <a:solidFill>
            <a:schemeClr val="accent1"/>
          </a:solidFill>
          <a:ln w="19050">
            <a:solidFill>
              <a:schemeClr val="lt1"/>
            </a:solidFill>
          </a:ln>
          <a:effectLst/>
        </c:spPr>
      </c:pivotFmt>
      <c:pivotFmt>
        <c:idx val="300"/>
        <c:spPr>
          <a:solidFill>
            <a:schemeClr val="accent1"/>
          </a:solidFill>
          <a:ln w="19050">
            <a:solidFill>
              <a:schemeClr val="lt1"/>
            </a:solidFill>
          </a:ln>
          <a:effectLst/>
        </c:spPr>
      </c:pivotFmt>
      <c:pivotFmt>
        <c:idx val="301"/>
        <c:spPr>
          <a:solidFill>
            <a:schemeClr val="accent1"/>
          </a:solidFill>
          <a:ln w="19050">
            <a:solidFill>
              <a:schemeClr val="lt1"/>
            </a:solidFill>
          </a:ln>
          <a:effectLst/>
        </c:spPr>
      </c:pivotFmt>
      <c:pivotFmt>
        <c:idx val="302"/>
        <c:spPr>
          <a:solidFill>
            <a:schemeClr val="accent1"/>
          </a:solidFill>
          <a:ln w="19050">
            <a:solidFill>
              <a:schemeClr val="lt1"/>
            </a:solidFill>
          </a:ln>
          <a:effectLst/>
        </c:spPr>
      </c:pivotFmt>
      <c:pivotFmt>
        <c:idx val="303"/>
        <c:spPr>
          <a:solidFill>
            <a:schemeClr val="accent1"/>
          </a:solidFill>
          <a:ln w="19050">
            <a:solidFill>
              <a:schemeClr val="lt1"/>
            </a:solidFill>
          </a:ln>
          <a:effectLst/>
        </c:spPr>
      </c:pivotFmt>
      <c:pivotFmt>
        <c:idx val="304"/>
        <c:spPr>
          <a:solidFill>
            <a:schemeClr val="accent1"/>
          </a:solidFill>
          <a:ln w="19050">
            <a:solidFill>
              <a:schemeClr val="lt1"/>
            </a:solidFill>
          </a:ln>
          <a:effectLst/>
        </c:spPr>
        <c:marker>
          <c:symbol val="none"/>
        </c:marker>
      </c:pivotFmt>
      <c:pivotFmt>
        <c:idx val="305"/>
        <c:spPr>
          <a:solidFill>
            <a:schemeClr val="accent1"/>
          </a:solidFill>
          <a:ln w="19050">
            <a:solidFill>
              <a:schemeClr val="lt1"/>
            </a:solidFill>
          </a:ln>
          <a:effectLst/>
        </c:spPr>
      </c:pivotFmt>
      <c:pivotFmt>
        <c:idx val="306"/>
        <c:spPr>
          <a:solidFill>
            <a:schemeClr val="accent1"/>
          </a:solidFill>
          <a:ln w="19050">
            <a:solidFill>
              <a:schemeClr val="lt1"/>
            </a:solidFill>
          </a:ln>
          <a:effectLst/>
        </c:spPr>
      </c:pivotFmt>
      <c:pivotFmt>
        <c:idx val="307"/>
        <c:spPr>
          <a:solidFill>
            <a:schemeClr val="accent1"/>
          </a:solidFill>
          <a:ln w="19050">
            <a:solidFill>
              <a:schemeClr val="lt1"/>
            </a:solidFill>
          </a:ln>
          <a:effectLst/>
        </c:spPr>
      </c:pivotFmt>
      <c:pivotFmt>
        <c:idx val="308"/>
        <c:spPr>
          <a:solidFill>
            <a:schemeClr val="accent1"/>
          </a:solidFill>
          <a:ln w="19050">
            <a:solidFill>
              <a:schemeClr val="lt1"/>
            </a:solidFill>
          </a:ln>
          <a:effectLst/>
        </c:spPr>
      </c:pivotFmt>
      <c:pivotFmt>
        <c:idx val="309"/>
        <c:spPr>
          <a:solidFill>
            <a:schemeClr val="accent1"/>
          </a:solidFill>
          <a:ln w="19050">
            <a:solidFill>
              <a:schemeClr val="lt1"/>
            </a:solidFill>
          </a:ln>
          <a:effectLst/>
        </c:spPr>
      </c:pivotFmt>
      <c:pivotFmt>
        <c:idx val="310"/>
        <c:spPr>
          <a:solidFill>
            <a:schemeClr val="accent1"/>
          </a:solidFill>
          <a:ln w="19050">
            <a:solidFill>
              <a:schemeClr val="lt1"/>
            </a:solidFill>
          </a:ln>
          <a:effectLst/>
        </c:spPr>
      </c:pivotFmt>
      <c:pivotFmt>
        <c:idx val="311"/>
        <c:spPr>
          <a:solidFill>
            <a:schemeClr val="accent1"/>
          </a:solidFill>
          <a:ln w="19050">
            <a:solidFill>
              <a:schemeClr val="lt1"/>
            </a:solidFill>
          </a:ln>
          <a:effectLst/>
        </c:spPr>
      </c:pivotFmt>
      <c:pivotFmt>
        <c:idx val="312"/>
        <c:spPr>
          <a:solidFill>
            <a:schemeClr val="accent1"/>
          </a:solidFill>
          <a:ln w="19050">
            <a:solidFill>
              <a:schemeClr val="lt1"/>
            </a:solidFill>
          </a:ln>
          <a:effectLst/>
        </c:spPr>
      </c:pivotFmt>
      <c:pivotFmt>
        <c:idx val="313"/>
        <c:spPr>
          <a:solidFill>
            <a:schemeClr val="accent1"/>
          </a:solidFill>
          <a:ln w="19050">
            <a:solidFill>
              <a:schemeClr val="lt1"/>
            </a:solidFill>
          </a:ln>
          <a:effectLst/>
        </c:spPr>
      </c:pivotFmt>
      <c:pivotFmt>
        <c:idx val="314"/>
        <c:spPr>
          <a:solidFill>
            <a:schemeClr val="accent1"/>
          </a:solidFill>
          <a:ln w="19050">
            <a:solidFill>
              <a:schemeClr val="lt1"/>
            </a:solidFill>
          </a:ln>
          <a:effectLst/>
        </c:spPr>
      </c:pivotFmt>
      <c:pivotFmt>
        <c:idx val="315"/>
        <c:spPr>
          <a:solidFill>
            <a:schemeClr val="accent1"/>
          </a:solidFill>
          <a:ln w="19050">
            <a:solidFill>
              <a:schemeClr val="lt1"/>
            </a:solidFill>
          </a:ln>
          <a:effectLst/>
        </c:spPr>
      </c:pivotFmt>
      <c:pivotFmt>
        <c:idx val="316"/>
        <c:spPr>
          <a:solidFill>
            <a:schemeClr val="accent1"/>
          </a:solidFill>
          <a:ln w="19050">
            <a:solidFill>
              <a:schemeClr val="lt1"/>
            </a:solidFill>
          </a:ln>
          <a:effectLst/>
        </c:spPr>
        <c:marker>
          <c:symbol val="none"/>
        </c:marker>
      </c:pivotFmt>
      <c:pivotFmt>
        <c:idx val="317"/>
        <c:spPr>
          <a:solidFill>
            <a:schemeClr val="accent1"/>
          </a:solidFill>
          <a:ln w="19050">
            <a:solidFill>
              <a:schemeClr val="lt1"/>
            </a:solidFill>
          </a:ln>
          <a:effectLst/>
        </c:spPr>
      </c:pivotFmt>
      <c:pivotFmt>
        <c:idx val="318"/>
        <c:spPr>
          <a:solidFill>
            <a:schemeClr val="accent1"/>
          </a:solidFill>
          <a:ln w="19050">
            <a:solidFill>
              <a:schemeClr val="lt1"/>
            </a:solidFill>
          </a:ln>
          <a:effectLst/>
        </c:spPr>
      </c:pivotFmt>
      <c:pivotFmt>
        <c:idx val="319"/>
        <c:spPr>
          <a:solidFill>
            <a:schemeClr val="accent1"/>
          </a:solidFill>
          <a:ln w="19050">
            <a:solidFill>
              <a:schemeClr val="lt1"/>
            </a:solidFill>
          </a:ln>
          <a:effectLst/>
        </c:spPr>
      </c:pivotFmt>
      <c:pivotFmt>
        <c:idx val="320"/>
        <c:spPr>
          <a:solidFill>
            <a:schemeClr val="accent1"/>
          </a:solidFill>
          <a:ln w="19050">
            <a:solidFill>
              <a:schemeClr val="lt1"/>
            </a:solidFill>
          </a:ln>
          <a:effectLst/>
        </c:spPr>
      </c:pivotFmt>
      <c:pivotFmt>
        <c:idx val="321"/>
        <c:spPr>
          <a:solidFill>
            <a:schemeClr val="accent1"/>
          </a:solidFill>
          <a:ln w="19050">
            <a:solidFill>
              <a:schemeClr val="lt1"/>
            </a:solidFill>
          </a:ln>
          <a:effectLst/>
        </c:spPr>
      </c:pivotFmt>
      <c:pivotFmt>
        <c:idx val="322"/>
        <c:spPr>
          <a:solidFill>
            <a:schemeClr val="accent1"/>
          </a:solidFill>
          <a:ln w="19050">
            <a:solidFill>
              <a:schemeClr val="lt1"/>
            </a:solidFill>
          </a:ln>
          <a:effectLst/>
        </c:spPr>
      </c:pivotFmt>
      <c:pivotFmt>
        <c:idx val="323"/>
        <c:spPr>
          <a:solidFill>
            <a:schemeClr val="accent1"/>
          </a:solidFill>
          <a:ln w="19050">
            <a:solidFill>
              <a:schemeClr val="lt1"/>
            </a:solidFill>
          </a:ln>
          <a:effectLst/>
        </c:spPr>
      </c:pivotFmt>
      <c:pivotFmt>
        <c:idx val="324"/>
        <c:spPr>
          <a:solidFill>
            <a:schemeClr val="accent1"/>
          </a:solidFill>
          <a:ln w="19050">
            <a:solidFill>
              <a:schemeClr val="lt1"/>
            </a:solidFill>
          </a:ln>
          <a:effectLst/>
        </c:spPr>
      </c:pivotFmt>
      <c:pivotFmt>
        <c:idx val="325"/>
        <c:spPr>
          <a:solidFill>
            <a:schemeClr val="accent1"/>
          </a:solidFill>
          <a:ln w="19050">
            <a:solidFill>
              <a:schemeClr val="lt1"/>
            </a:solidFill>
          </a:ln>
          <a:effectLst/>
        </c:spPr>
      </c:pivotFmt>
      <c:pivotFmt>
        <c:idx val="326"/>
        <c:spPr>
          <a:solidFill>
            <a:schemeClr val="accent1"/>
          </a:solidFill>
          <a:ln w="19050">
            <a:solidFill>
              <a:schemeClr val="lt1"/>
            </a:solidFill>
          </a:ln>
          <a:effectLst/>
        </c:spPr>
      </c:pivotFmt>
      <c:pivotFmt>
        <c:idx val="327"/>
        <c:spPr>
          <a:solidFill>
            <a:schemeClr val="accent1"/>
          </a:solidFill>
          <a:ln w="19050">
            <a:solidFill>
              <a:schemeClr val="lt1"/>
            </a:solidFill>
          </a:ln>
          <a:effectLst/>
        </c:spPr>
      </c:pivotFmt>
    </c:pivotFmts>
    <c:plotArea>
      <c:layout/>
      <c:doughnutChart>
        <c:varyColors val="1"/>
        <c:ser>
          <c:idx val="0"/>
          <c:order val="0"/>
          <c:tx>
            <c:strRef>
              <c:f>'SCC Summary '!$B$3:$B$4</c:f>
              <c:strCache>
                <c:ptCount val="1"/>
                <c:pt idx="0">
                  <c:v>ACAD</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cat>
            <c:strRef>
              <c:f>'SCC Summary '!$A$5:$A$15</c:f>
              <c:strCache>
                <c:ptCount val="11"/>
                <c:pt idx="0">
                  <c:v>Ext Comb /Electric Gen /Bituminous Coal /Pulverized Coal: Dry Bottom</c:v>
                </c:pt>
                <c:pt idx="1">
                  <c:v>Ext Comb /Electric Gen /Bituminous Coal /Pulverized Coal: Dry Bottom (Tangential)</c:v>
                </c:pt>
                <c:pt idx="2">
                  <c:v>Ext Comb /Electric Gen /Subbituminous Coal /Pulverized Coal: Dry Bottom</c:v>
                </c:pt>
                <c:pt idx="3">
                  <c:v>Other</c:v>
                </c:pt>
                <c:pt idx="4">
                  <c:v>Ext Comb /Electric Gen /Bituminous Coal /Cyclone Furnace</c:v>
                </c:pt>
                <c:pt idx="5">
                  <c:v>Ext Comb /Electric Gen /Anthracite Coal /Pulverized Coal</c:v>
                </c:pt>
                <c:pt idx="6">
                  <c:v>Ext Comb /Electric Gen /Subbituminous Coal /Pulverized Coal: Dry Bottom Tangential</c:v>
                </c:pt>
                <c:pt idx="7">
                  <c:v>Ext Comb /Electric Gen /Distillate Oil /Grades 1 and 2 Oil</c:v>
                </c:pt>
                <c:pt idx="8">
                  <c:v>Ext Comb /Electric Gen /Bituminous Coal /Cell Burner</c:v>
                </c:pt>
                <c:pt idx="9">
                  <c:v>Ext Comb /Electric Gen /Subbituminous Coal /Cyclone Furnace</c:v>
                </c:pt>
                <c:pt idx="10">
                  <c:v>Ext Comb /Electric Gen /Bituminous Coal /Pulverized Coal: Wet Bottom</c:v>
                </c:pt>
              </c:strCache>
            </c:strRef>
          </c:cat>
          <c:val>
            <c:numRef>
              <c:f>'SCC Summary '!$B$5:$B$15</c:f>
              <c:numCache>
                <c:formatCode>General</c:formatCode>
                <c:ptCount val="11"/>
                <c:pt idx="0">
                  <c:v>0.15704871867188422</c:v>
                </c:pt>
                <c:pt idx="1">
                  <c:v>2.9597795852014126E-2</c:v>
                </c:pt>
                <c:pt idx="2">
                  <c:v>1.3618000000000002E-2</c:v>
                </c:pt>
                <c:pt idx="3">
                  <c:v>7.1363407984985899E-3</c:v>
                </c:pt>
                <c:pt idx="4">
                  <c:v>5.6115026508703784E-3</c:v>
                </c:pt>
                <c:pt idx="5">
                  <c:v>3.6179999999999997E-3</c:v>
                </c:pt>
                <c:pt idx="6">
                  <c:v>3.0709999999999999E-3</c:v>
                </c:pt>
                <c:pt idx="7">
                  <c:v>3.0027607002639581E-3</c:v>
                </c:pt>
                <c:pt idx="8">
                  <c:v>2.5700000000000002E-3</c:v>
                </c:pt>
                <c:pt idx="9">
                  <c:v>2.5350829137925426E-3</c:v>
                </c:pt>
                <c:pt idx="10">
                  <c:v>2.3870612529839201E-3</c:v>
                </c:pt>
              </c:numCache>
            </c:numRef>
          </c:val>
        </c:ser>
        <c:ser>
          <c:idx val="1"/>
          <c:order val="1"/>
          <c:tx>
            <c:strRef>
              <c:f>'SCC Summary '!$C$3:$C$4</c:f>
              <c:strCache>
                <c:ptCount val="1"/>
                <c:pt idx="0">
                  <c:v>BRIG</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cat>
            <c:strRef>
              <c:f>'SCC Summary '!$A$5:$A$15</c:f>
              <c:strCache>
                <c:ptCount val="11"/>
                <c:pt idx="0">
                  <c:v>Ext Comb /Electric Gen /Bituminous Coal /Pulverized Coal: Dry Bottom</c:v>
                </c:pt>
                <c:pt idx="1">
                  <c:v>Ext Comb /Electric Gen /Bituminous Coal /Pulverized Coal: Dry Bottom (Tangential)</c:v>
                </c:pt>
                <c:pt idx="2">
                  <c:v>Ext Comb /Electric Gen /Subbituminous Coal /Pulverized Coal: Dry Bottom</c:v>
                </c:pt>
                <c:pt idx="3">
                  <c:v>Other</c:v>
                </c:pt>
                <c:pt idx="4">
                  <c:v>Ext Comb /Electric Gen /Bituminous Coal /Cyclone Furnace</c:v>
                </c:pt>
                <c:pt idx="5">
                  <c:v>Ext Comb /Electric Gen /Anthracite Coal /Pulverized Coal</c:v>
                </c:pt>
                <c:pt idx="6">
                  <c:v>Ext Comb /Electric Gen /Subbituminous Coal /Pulverized Coal: Dry Bottom Tangential</c:v>
                </c:pt>
                <c:pt idx="7">
                  <c:v>Ext Comb /Electric Gen /Distillate Oil /Grades 1 and 2 Oil</c:v>
                </c:pt>
                <c:pt idx="8">
                  <c:v>Ext Comb /Electric Gen /Bituminous Coal /Cell Burner</c:v>
                </c:pt>
                <c:pt idx="9">
                  <c:v>Ext Comb /Electric Gen /Subbituminous Coal /Cyclone Furnace</c:v>
                </c:pt>
                <c:pt idx="10">
                  <c:v>Ext Comb /Electric Gen /Bituminous Coal /Pulverized Coal: Wet Bottom</c:v>
                </c:pt>
              </c:strCache>
            </c:strRef>
          </c:cat>
          <c:val>
            <c:numRef>
              <c:f>'SCC Summary '!$C$5:$C$15</c:f>
              <c:numCache>
                <c:formatCode>General</c:formatCode>
                <c:ptCount val="11"/>
                <c:pt idx="0">
                  <c:v>0.22343775703330382</c:v>
                </c:pt>
                <c:pt idx="1">
                  <c:v>4.9493103041584503E-2</c:v>
                </c:pt>
                <c:pt idx="2">
                  <c:v>1.4346309651974247E-2</c:v>
                </c:pt>
                <c:pt idx="3">
                  <c:v>1.2344664023267025E-2</c:v>
                </c:pt>
                <c:pt idx="4">
                  <c:v>1.1341017500904575E-2</c:v>
                </c:pt>
                <c:pt idx="5">
                  <c:v>6.1040000000000001E-3</c:v>
                </c:pt>
                <c:pt idx="6">
                  <c:v>2.1019999999999997E-3</c:v>
                </c:pt>
                <c:pt idx="7">
                  <c:v>5.6301091299756608E-3</c:v>
                </c:pt>
                <c:pt idx="8">
                  <c:v>8.371E-3</c:v>
                </c:pt>
                <c:pt idx="9">
                  <c:v>3.2661444113928281E-3</c:v>
                </c:pt>
                <c:pt idx="10">
                  <c:v>5.0440931189487748E-3</c:v>
                </c:pt>
              </c:numCache>
            </c:numRef>
          </c:val>
        </c:ser>
        <c:ser>
          <c:idx val="2"/>
          <c:order val="2"/>
          <c:tx>
            <c:strRef>
              <c:f>'SCC Summary '!$D$3:$D$4</c:f>
              <c:strCache>
                <c:ptCount val="1"/>
                <c:pt idx="0">
                  <c:v>GRGU</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cat>
            <c:strRef>
              <c:f>'SCC Summary '!$A$5:$A$15</c:f>
              <c:strCache>
                <c:ptCount val="11"/>
                <c:pt idx="0">
                  <c:v>Ext Comb /Electric Gen /Bituminous Coal /Pulverized Coal: Dry Bottom</c:v>
                </c:pt>
                <c:pt idx="1">
                  <c:v>Ext Comb /Electric Gen /Bituminous Coal /Pulverized Coal: Dry Bottom (Tangential)</c:v>
                </c:pt>
                <c:pt idx="2">
                  <c:v>Ext Comb /Electric Gen /Subbituminous Coal /Pulverized Coal: Dry Bottom</c:v>
                </c:pt>
                <c:pt idx="3">
                  <c:v>Other</c:v>
                </c:pt>
                <c:pt idx="4">
                  <c:v>Ext Comb /Electric Gen /Bituminous Coal /Cyclone Furnace</c:v>
                </c:pt>
                <c:pt idx="5">
                  <c:v>Ext Comb /Electric Gen /Anthracite Coal /Pulverized Coal</c:v>
                </c:pt>
                <c:pt idx="6">
                  <c:v>Ext Comb /Electric Gen /Subbituminous Coal /Pulverized Coal: Dry Bottom Tangential</c:v>
                </c:pt>
                <c:pt idx="7">
                  <c:v>Ext Comb /Electric Gen /Distillate Oil /Grades 1 and 2 Oil</c:v>
                </c:pt>
                <c:pt idx="8">
                  <c:v>Ext Comb /Electric Gen /Bituminous Coal /Cell Burner</c:v>
                </c:pt>
                <c:pt idx="9">
                  <c:v>Ext Comb /Electric Gen /Subbituminous Coal /Cyclone Furnace</c:v>
                </c:pt>
                <c:pt idx="10">
                  <c:v>Ext Comb /Electric Gen /Bituminous Coal /Pulverized Coal: Wet Bottom</c:v>
                </c:pt>
              </c:strCache>
            </c:strRef>
          </c:cat>
          <c:val>
            <c:numRef>
              <c:f>'SCC Summary '!$D$5:$D$15</c:f>
              <c:numCache>
                <c:formatCode>General</c:formatCode>
                <c:ptCount val="11"/>
                <c:pt idx="0">
                  <c:v>0.12239255967700345</c:v>
                </c:pt>
                <c:pt idx="1">
                  <c:v>2.1740509913395177E-2</c:v>
                </c:pt>
                <c:pt idx="2">
                  <c:v>1.2727997060207191E-2</c:v>
                </c:pt>
                <c:pt idx="3">
                  <c:v>4.8365504903248677E-3</c:v>
                </c:pt>
                <c:pt idx="4">
                  <c:v>4.0300749020168126E-3</c:v>
                </c:pt>
                <c:pt idx="5">
                  <c:v>2.4580000000000001E-3</c:v>
                </c:pt>
                <c:pt idx="6">
                  <c:v>2.7919999999999998E-3</c:v>
                </c:pt>
                <c:pt idx="7">
                  <c:v>2.1082335215493494E-3</c:v>
                </c:pt>
                <c:pt idx="8">
                  <c:v>1.6120000000000002E-3</c:v>
                </c:pt>
                <c:pt idx="9">
                  <c:v>1.8070587357887065E-3</c:v>
                </c:pt>
                <c:pt idx="10">
                  <c:v>1.5450416341248681E-3</c:v>
                </c:pt>
              </c:numCache>
            </c:numRef>
          </c:val>
        </c:ser>
        <c:ser>
          <c:idx val="3"/>
          <c:order val="3"/>
          <c:tx>
            <c:strRef>
              <c:f>'SCC Summary '!$E$3:$E$4</c:f>
              <c:strCache>
                <c:ptCount val="1"/>
                <c:pt idx="0">
                  <c:v>LYBR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cat>
            <c:strRef>
              <c:f>'SCC Summary '!$A$5:$A$15</c:f>
              <c:strCache>
                <c:ptCount val="11"/>
                <c:pt idx="0">
                  <c:v>Ext Comb /Electric Gen /Bituminous Coal /Pulverized Coal: Dry Bottom</c:v>
                </c:pt>
                <c:pt idx="1">
                  <c:v>Ext Comb /Electric Gen /Bituminous Coal /Pulverized Coal: Dry Bottom (Tangential)</c:v>
                </c:pt>
                <c:pt idx="2">
                  <c:v>Ext Comb /Electric Gen /Subbituminous Coal /Pulverized Coal: Dry Bottom</c:v>
                </c:pt>
                <c:pt idx="3">
                  <c:v>Other</c:v>
                </c:pt>
                <c:pt idx="4">
                  <c:v>Ext Comb /Electric Gen /Bituminous Coal /Cyclone Furnace</c:v>
                </c:pt>
                <c:pt idx="5">
                  <c:v>Ext Comb /Electric Gen /Anthracite Coal /Pulverized Coal</c:v>
                </c:pt>
                <c:pt idx="6">
                  <c:v>Ext Comb /Electric Gen /Subbituminous Coal /Pulverized Coal: Dry Bottom Tangential</c:v>
                </c:pt>
                <c:pt idx="7">
                  <c:v>Ext Comb /Electric Gen /Distillate Oil /Grades 1 and 2 Oil</c:v>
                </c:pt>
                <c:pt idx="8">
                  <c:v>Ext Comb /Electric Gen /Bituminous Coal /Cell Burner</c:v>
                </c:pt>
                <c:pt idx="9">
                  <c:v>Ext Comb /Electric Gen /Subbituminous Coal /Cyclone Furnace</c:v>
                </c:pt>
                <c:pt idx="10">
                  <c:v>Ext Comb /Electric Gen /Bituminous Coal /Pulverized Coal: Wet Bottom</c:v>
                </c:pt>
              </c:strCache>
            </c:strRef>
          </c:cat>
          <c:val>
            <c:numRef>
              <c:f>'SCC Summary '!$E$5:$E$15</c:f>
              <c:numCache>
                <c:formatCode>General</c:formatCode>
                <c:ptCount val="11"/>
                <c:pt idx="0">
                  <c:v>0.17271962771144225</c:v>
                </c:pt>
                <c:pt idx="1">
                  <c:v>3.054544740663763E-2</c:v>
                </c:pt>
                <c:pt idx="2">
                  <c:v>1.4857000000000002E-2</c:v>
                </c:pt>
                <c:pt idx="3">
                  <c:v>7.5873749847090634E-3</c:v>
                </c:pt>
                <c:pt idx="4">
                  <c:v>4.991257059152771E-3</c:v>
                </c:pt>
                <c:pt idx="5">
                  <c:v>4.5180000000000003E-3</c:v>
                </c:pt>
                <c:pt idx="6">
                  <c:v>3.3400000000000001E-3</c:v>
                </c:pt>
                <c:pt idx="7">
                  <c:v>3.3575875472903762E-3</c:v>
                </c:pt>
                <c:pt idx="8">
                  <c:v>2.2750000000000001E-3</c:v>
                </c:pt>
                <c:pt idx="9">
                  <c:v>2.7140983651168151E-3</c:v>
                </c:pt>
                <c:pt idx="10">
                  <c:v>2.5510677862852819E-3</c:v>
                </c:pt>
              </c:numCache>
            </c:numRef>
          </c:val>
        </c:ser>
        <c:ser>
          <c:idx val="4"/>
          <c:order val="4"/>
          <c:tx>
            <c:strRef>
              <c:f>'SCC Summary '!$F$3:$F$4</c:f>
              <c:strCache>
                <c:ptCount val="1"/>
                <c:pt idx="0">
                  <c:v>MOOS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cat>
            <c:strRef>
              <c:f>'SCC Summary '!$A$5:$A$15</c:f>
              <c:strCache>
                <c:ptCount val="11"/>
                <c:pt idx="0">
                  <c:v>Ext Comb /Electric Gen /Bituminous Coal /Pulverized Coal: Dry Bottom</c:v>
                </c:pt>
                <c:pt idx="1">
                  <c:v>Ext Comb /Electric Gen /Bituminous Coal /Pulverized Coal: Dry Bottom (Tangential)</c:v>
                </c:pt>
                <c:pt idx="2">
                  <c:v>Ext Comb /Electric Gen /Subbituminous Coal /Pulverized Coal: Dry Bottom</c:v>
                </c:pt>
                <c:pt idx="3">
                  <c:v>Other</c:v>
                </c:pt>
                <c:pt idx="4">
                  <c:v>Ext Comb /Electric Gen /Bituminous Coal /Cyclone Furnace</c:v>
                </c:pt>
                <c:pt idx="5">
                  <c:v>Ext Comb /Electric Gen /Anthracite Coal /Pulverized Coal</c:v>
                </c:pt>
                <c:pt idx="6">
                  <c:v>Ext Comb /Electric Gen /Subbituminous Coal /Pulverized Coal: Dry Bottom Tangential</c:v>
                </c:pt>
                <c:pt idx="7">
                  <c:v>Ext Comb /Electric Gen /Distillate Oil /Grades 1 and 2 Oil</c:v>
                </c:pt>
                <c:pt idx="8">
                  <c:v>Ext Comb /Electric Gen /Bituminous Coal /Cell Burner</c:v>
                </c:pt>
                <c:pt idx="9">
                  <c:v>Ext Comb /Electric Gen /Subbituminous Coal /Cyclone Furnace</c:v>
                </c:pt>
                <c:pt idx="10">
                  <c:v>Ext Comb /Electric Gen /Bituminous Coal /Pulverized Coal: Wet Bottom</c:v>
                </c:pt>
              </c:strCache>
            </c:strRef>
          </c:cat>
          <c:val>
            <c:numRef>
              <c:f>'SCC Summary '!$F$5:$F$15</c:f>
              <c:numCache>
                <c:formatCode>General</c:formatCode>
                <c:ptCount val="11"/>
                <c:pt idx="0">
                  <c:v>0.14018968315527583</c:v>
                </c:pt>
                <c:pt idx="1">
                  <c:v>2.3678539030091147E-2</c:v>
                </c:pt>
                <c:pt idx="2">
                  <c:v>1.2723691690896223E-2</c:v>
                </c:pt>
                <c:pt idx="3">
                  <c:v>5.2535468736390851E-3</c:v>
                </c:pt>
                <c:pt idx="4">
                  <c:v>4.7953371393587366E-3</c:v>
                </c:pt>
                <c:pt idx="5">
                  <c:v>2.0479999999999999E-3</c:v>
                </c:pt>
                <c:pt idx="6">
                  <c:v>3.016E-3</c:v>
                </c:pt>
                <c:pt idx="7">
                  <c:v>2.4195188745763071E-3</c:v>
                </c:pt>
                <c:pt idx="8">
                  <c:v>1.8759999999999998E-3</c:v>
                </c:pt>
                <c:pt idx="9">
                  <c:v>1.9810777223295789E-3</c:v>
                </c:pt>
                <c:pt idx="10">
                  <c:v>1.2340527260821651E-3</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7.6635576802899646E-2"/>
          <c:y val="0.63658162215017244"/>
          <c:w val="0.86458583302087244"/>
          <c:h val="0.353614456281200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[draftQdC2018SCCStateSummary.xlsx]2011 State Charts!PivotTable2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2011</a:t>
            </a:r>
          </a:p>
        </c:rich>
      </c:tx>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4F628A9-8CF1-492D-BF58-1B2D3D5A567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8ADD822-DB39-467B-931B-B79ED00F413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3A6A853-FB9F-40B5-B1BB-9097BCA14D8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939FDB-B793-48FB-B366-3D59A5E42AA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3518F57-3D81-4D23-9B44-311E9C89F8F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8894BFD-A470-47A9-BB92-4413E6AF588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D4CE977-9722-4CD7-9C96-F7D70108348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CF5E1F-7B06-4AEB-82B7-B3483844B3F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05E269C-D159-4FFC-94ED-1262F7DEF1D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F21F23E-4455-4A80-BA56-B9B12A25AF3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08E79A8-2A76-47AD-A453-7DBF804AA22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E29D7D-1F88-4FC0-9D05-8BA7B49C96C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3D9A6A7-9CC7-4179-A2AD-18D03ED932B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BFD1B06-ABE6-46D0-8125-5AB248DA4DA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AD38DC2-C8D3-4C31-8DD0-CA4BCE565E0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54414C-1D63-48D1-92BC-7274B11D02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F100B5-4009-4406-9898-EDC541A89DF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5098FA-EFA2-4164-962C-9301C0400EA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8D3B806-780A-4334-AB02-68C672EADDC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58C1D28-10D3-4565-8944-066BFBDD278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898DE7-B45D-4BA2-8E56-97608F1CB07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13AE16C-A70F-44EE-BD29-5E87BBA6D7E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28727F-6663-43FF-AC33-04495EF74F2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38E537A-1AD5-48D8-86D9-5944BC2CEE4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5192EA-2916-4C9A-B394-2A2A9B83EA4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F397192-2A0B-4329-BB40-8CE58F7FA6C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3055DE4-4D3B-4995-A183-30A5BE1A814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635FBD-24F7-4403-B8CB-635043668F8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0CBC25A-71D1-4E76-A986-8B2E56FE58A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FF51914-A384-4325-979F-33F84262016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9C5423-98BB-4804-8A6A-78B88A189B6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66C30C-6824-4750-8F2C-B5131C54AD2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E3B6096-2FFF-4DFB-8BC3-C77BCF0CF5E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04A4D7-88F6-45BD-9DCD-3592EF99C6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6F5B151-BC23-490A-BA88-A186AEE99D8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C9DDEE-2320-4D8F-BE51-DAE5348CAB1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3A3078F-3ACD-414D-B9FE-AD29753D460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75827BA-E553-4C56-93FA-FB1CE3412BA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ADA785-9E13-400C-8A0B-2E06259E7CE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7134E3-8145-43D6-BCAA-1DE8222EDF6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EF16C22-69A0-431A-A889-9731A10FFAB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389A25E-E7A8-4840-8923-F3C29915CF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5584D3C-A589-44A3-A419-1B3577C29D7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A31FE2-FE38-4F9D-8B8F-9761A996D33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3C18161-D44A-4C48-920B-921CE84D3A2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F9E4B82-6B21-4107-81DB-57216CC813E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0C0338-BBEA-4E1A-AD9C-F532BB73413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A4F3D53-2936-4A75-930A-DEFC5653A54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B2A282F-F7EB-4116-A156-3FB85630888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4454F4-5002-4A58-8026-D3213177B5A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F4CC60D-25A4-4354-9ED6-D879DB11AB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72271D-BC60-4A25-9E9A-5C8BA40DC2D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9A52F6B-36B8-4AEA-AB4D-9A68D42D8EE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105359D-F97A-443D-B00C-35CC8E320FB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B2DCD5A-B0BB-4BE5-99AF-45FFEF7E4B1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ABE129-214E-488D-BD6D-7BF3E8245D7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75EE095-676A-4224-9C6F-017507E9570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3D22AA-17AE-4BC1-9774-859FF0B8750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B0A442-9B9D-4981-877C-C8455C6966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072BAC1-083A-4394-90FD-98F9EF19618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1212483-6457-4B52-924C-FC520B5F5F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5F5A0AC-C3EF-4172-A2EF-2501D8FFAED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9F1D625-E760-4099-B52A-04766F0A1DE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729FBA7-E653-4FEA-9FF5-11555C1592F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FF0495-1ACE-4ABF-A569-3298CF5E14E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7A157B9-0931-4184-B291-8CF0C966583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E0469A-5375-4353-85C3-408DEF36541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ECDC8F7-8C13-40AF-AEAC-36925A708F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19FE63A-7F9B-4C80-8DC7-80D490F49B1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C7803A1-A0DC-41AC-BFAF-28C9CEA4591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D20F7A6-4124-4E4B-BED7-7BECFFB71AA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12B4DE-A0BC-4F83-A3CC-B3D605EE385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2C8F8F9-1827-4D6D-BA9C-31D87288C4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BC88DAF-454B-4C91-8993-9AA71E51F6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79022A1-109E-42A4-B3C9-0FFB306AD50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B219614-CBAC-4743-BDB0-00C0AE70765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D969D8-0BEB-4386-A949-1DDE7D2AE8D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3A59CA-7148-4DCF-8E90-43725D01BAF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E4EDF8C-CCD0-4DD6-8103-6B3A0561F86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96B7F1B-1774-4355-9A71-E230D5B82D8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0B1318E-16CF-4D0C-824B-D98AD499195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7393BC0-B184-4443-A059-A6C150F25BA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B95047-68AB-4F73-8442-9289CB7ED3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A48B3F9-2135-4D2C-BAA2-9E22DEF97B9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D5FC078-64D3-4022-AEF4-E67E6A6F308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64B94FE-FB2E-4709-BB3C-2BFF4E3FE07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17657AA-8076-4333-B0FA-AA7D2B0D0F8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79770F7-8B6C-45FC-B447-A56EAE2B360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3DABFB-2644-4802-BD8D-F0F57AD56BB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36E806-CE5B-40C0-836E-4A034957306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CD59EB-E1BA-4059-B1F2-39424C0F581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8FD83C3-7DA4-48ED-B981-E5E79025223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285AD36-10F1-49DE-9559-501A064189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D8128EF-7F7F-4F88-B004-AB955062BD1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7C999F8-63EC-4B60-BDAD-8FA122C16C2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8BDDA05-5E65-47E6-9989-359840583AF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CCF19D6-A776-4796-A2D2-9F9AF4CF541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F0DB87-BC90-4D0C-8BFB-07F9B1441A0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9BCA2F2-DABC-4320-A2BC-FF42254D82F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E265B54-7FEF-40A0-BF55-E2ACD101FF1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8AC625-91FD-4D8F-A45E-DEE2488E8D9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C0CBDCA-2847-4C26-BCAE-6E235305A82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2D9801B-B863-473F-B984-7DF2C371C21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8DC9094-93B4-49CD-9045-EEA1CE8FBF0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637D5D8-D59A-4A39-B85A-3BA1DE9BCC6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5197D7D-AC62-44BC-AD30-CF96E318E1D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4204ED4-8F5B-43F9-A335-DA5C560F424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798FAC2-34BD-4286-A30A-31E9AF04BF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E1CE989-5B82-4861-A000-B29B00CC3E4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BA9E99F-F9B9-4F2C-BC67-EE003AC10BC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9D0B073-0370-47D4-81D9-BEF92A12F43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15350A7-4C51-4CB1-BCEF-19FEFB61EFE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FB9F24-D698-4259-8015-D9D2799C908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35BC71E-1730-4926-9046-15AD330B71A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EE44B4-C5D1-4EB3-A8B9-E1BA8C34065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4C24623-A692-4312-A09C-F02B8ED6A65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6539A27-1A7F-4A7D-AB2A-904362E0DC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444C114-947D-4FFF-9448-FDF617316F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F268914-2DD2-4387-AC1D-FD04989BBDC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85DE694-8807-4D52-A5E8-605B31B3B7F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4A7212-E268-4725-8DC4-0C5C6D1E986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5676E90-482C-4E68-B9BF-2090B76F6B4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B56FB0-25EC-4F80-9BBA-16DE9B9D1D2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B5FB90-92E5-49A0-9722-84FCF818D5D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C425D5-3C64-4CE2-B191-1DCF06FC43F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8C4B4E-AA37-4689-8A9C-6BCD266552D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F73A261-0C88-42FE-B259-585E41466C6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28D5478-9B50-4EA5-A2EA-583CE3DF82A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'2011 State Charts'!$B$4</c:f>
              <c:strCache>
                <c:ptCount val="1"/>
                <c:pt idx="0">
                  <c:v>Total</c:v>
                </c:pt>
              </c:strCache>
            </c:strRef>
          </c:tx>
          <c:spPr>
            <a:solidFill>
              <a:schemeClr val="accent1"/>
            </a:solidFill>
            <a:ln>
              <a:noFill/>
            </a:ln>
            <a:effectLst/>
          </c:spPr>
          <c:invertIfNegative val="0"/>
          <c:dLbls>
            <c:dLbl>
              <c:idx val="0"/>
              <c:layout/>
              <c:tx>
                <c:rich>
                  <a:bodyPr/>
                  <a:lstStyle/>
                  <a:p>
                    <a:fld id="{D528488F-2A61-477C-8467-7580751B5B8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a:lstStyle/>
                  <a:p>
                    <a:fld id="{30C1F925-C4E0-4480-94FB-C4D1B4AAFC0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4937D432-C543-4985-9490-A629A8638BB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90E0F02C-B252-4ED7-8877-634D98B7F93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275EA8F7-7482-4404-A028-88F8D968D0C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D7FDB06F-A335-45C9-8C71-458E834A0B0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45610222-D7FA-4D72-82DA-5233E6E8582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4D83A513-FC4A-4CE6-AE00-8E6BC0B0424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a:lstStyle/>
                  <a:p>
                    <a:fld id="{01BE03C0-8094-4C8F-A223-C69BEA78304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a:lstStyle/>
                  <a:p>
                    <a:fld id="{E90EAAAC-AB7D-4788-BC18-6650FB06A85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a:lstStyle/>
                  <a:p>
                    <a:fld id="{D04E85DE-DFCE-49B7-ACF8-6164FCF8C0B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a:lstStyle/>
                  <a:p>
                    <a:fld id="{4FD1CC5A-310D-4E4C-B053-3A7263A9D67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a:lstStyle/>
                  <a:p>
                    <a:fld id="{70922AC7-4274-460F-A538-F8DCEF7367C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a:lstStyle/>
                  <a:p>
                    <a:fld id="{7F231809-4053-476B-9EA8-2DC2D4A74CB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a:lstStyle/>
                  <a:p>
                    <a:fld id="{35868A4F-FABF-4D43-8FBF-372A70D9847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a:lstStyle/>
                  <a:p>
                    <a:fld id="{F7C305A6-9D52-41C9-9C9F-A3DD498EF62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a:lstStyle/>
                  <a:p>
                    <a:fld id="{721E1532-3A32-4EE5-95F5-7C76F6FC5F6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a:lstStyle/>
                  <a:p>
                    <a:fld id="{BCCFDC39-22AE-4933-9DAB-680941785D6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a:lstStyle/>
                  <a:p>
                    <a:fld id="{119DAA3B-36D9-49D2-AF39-DFEF1F513B6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a:lstStyle/>
                  <a:p>
                    <a:fld id="{DDD1A841-248A-4BE6-A7EA-183CA711783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a:lstStyle/>
                  <a:p>
                    <a:fld id="{BFEA8CE5-2FD5-44F9-96B1-E0E631C0F7B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a:lstStyle/>
                  <a:p>
                    <a:fld id="{8F322346-4B8A-44B7-B837-F138C58AB43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a:lstStyle/>
                  <a:p>
                    <a:fld id="{7076EBE9-C5F8-45A5-9656-8B7A808C8C6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a:lstStyle/>
                  <a:p>
                    <a:fld id="{5C2BBA8E-05A6-41D3-86AE-845BF3B2958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a:lstStyle/>
                  <a:p>
                    <a:fld id="{18CFC7B5-FBAC-4FA1-9D1D-E750FD87644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a:lstStyle/>
                  <a:p>
                    <a:fld id="{55ABDF5C-4E29-426C-9361-49C1BFC3624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a:lstStyle/>
                  <a:p>
                    <a:fld id="{F8EB706D-2ACB-48B0-BA7E-A98975A4FED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a:lstStyle/>
                  <a:p>
                    <a:fld id="{F5DEFB5D-9133-4BF1-BBCD-0B86C3C1FAB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a:lstStyle/>
                  <a:p>
                    <a:fld id="{35E73BF5-EEBA-4C83-89F9-0E5A4B78A9C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a:lstStyle/>
                  <a:p>
                    <a:fld id="{5CEC7333-20BA-43B1-8BF4-F279EA9CD75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a:lstStyle/>
                  <a:p>
                    <a:fld id="{FB9D9B2D-8A4C-4E5E-9976-E9BEC5A7D29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1"/>
              <c:layout/>
              <c:tx>
                <c:rich>
                  <a:bodyPr/>
                  <a:lstStyle/>
                  <a:p>
                    <a:fld id="{2B96BECF-7966-4353-910B-236482C2CC8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'2011 State Charts'!$D$5:$D$36</c:f>
              <c:strCache>
                <c:ptCount val="32"/>
                <c:pt idx="0">
                  <c:v>DC</c:v>
                </c:pt>
                <c:pt idx="1">
                  <c:v>RI</c:v>
                </c:pt>
                <c:pt idx="2">
                  <c:v>VT</c:v>
                </c:pt>
                <c:pt idx="3">
                  <c:v>DE</c:v>
                </c:pt>
                <c:pt idx="4">
                  <c:v>MS</c:v>
                </c:pt>
                <c:pt idx="5">
                  <c:v>NJ</c:v>
                </c:pt>
                <c:pt idx="6">
                  <c:v>MN</c:v>
                </c:pt>
                <c:pt idx="7">
                  <c:v>CT</c:v>
                </c:pt>
                <c:pt idx="8">
                  <c:v>AR</c:v>
                </c:pt>
                <c:pt idx="9">
                  <c:v>SC</c:v>
                </c:pt>
                <c:pt idx="10">
                  <c:v>IA</c:v>
                </c:pt>
                <c:pt idx="11">
                  <c:v>TN</c:v>
                </c:pt>
                <c:pt idx="12">
                  <c:v>LA</c:v>
                </c:pt>
                <c:pt idx="13">
                  <c:v>MD</c:v>
                </c:pt>
                <c:pt idx="14">
                  <c:v>WV</c:v>
                </c:pt>
                <c:pt idx="15">
                  <c:v>NC</c:v>
                </c:pt>
                <c:pt idx="16">
                  <c:v>NH</c:v>
                </c:pt>
                <c:pt idx="17">
                  <c:v>WI</c:v>
                </c:pt>
                <c:pt idx="18">
                  <c:v>VA</c:v>
                </c:pt>
                <c:pt idx="19">
                  <c:v>AL</c:v>
                </c:pt>
                <c:pt idx="20">
                  <c:v>GA</c:v>
                </c:pt>
                <c:pt idx="21">
                  <c:v>MO</c:v>
                </c:pt>
                <c:pt idx="22">
                  <c:v>ME</c:v>
                </c:pt>
                <c:pt idx="23">
                  <c:v>KY</c:v>
                </c:pt>
                <c:pt idx="24">
                  <c:v>MA</c:v>
                </c:pt>
                <c:pt idx="25">
                  <c:v>NY</c:v>
                </c:pt>
                <c:pt idx="26">
                  <c:v>TX</c:v>
                </c:pt>
                <c:pt idx="27">
                  <c:v>IL</c:v>
                </c:pt>
                <c:pt idx="28">
                  <c:v>MI</c:v>
                </c:pt>
                <c:pt idx="29">
                  <c:v>IN</c:v>
                </c:pt>
                <c:pt idx="30">
                  <c:v>PA</c:v>
                </c:pt>
                <c:pt idx="31">
                  <c:v>OH</c:v>
                </c:pt>
              </c:strCache>
            </c:strRef>
          </c:cat>
          <c:val>
            <c:numRef>
              <c:f>'2011 State Charts'!$D$5:$D$36</c:f>
              <c:numCache>
                <c:formatCode>General</c:formatCode>
                <c:ptCount val="32"/>
                <c:pt idx="0">
                  <c:v>3.8000000000000002E-4</c:v>
                </c:pt>
                <c:pt idx="1">
                  <c:v>1.9350000000000001E-3</c:v>
                </c:pt>
                <c:pt idx="2">
                  <c:v>1.9469999999999999E-3</c:v>
                </c:pt>
                <c:pt idx="3">
                  <c:v>3.3279999999999998E-3</c:v>
                </c:pt>
                <c:pt idx="4">
                  <c:v>4.5519999999999996E-3</c:v>
                </c:pt>
                <c:pt idx="5">
                  <c:v>5.2919999999999998E-3</c:v>
                </c:pt>
                <c:pt idx="6">
                  <c:v>5.7010000000000003E-3</c:v>
                </c:pt>
                <c:pt idx="7">
                  <c:v>6.1209999999999997E-3</c:v>
                </c:pt>
                <c:pt idx="8">
                  <c:v>6.4900000000000001E-3</c:v>
                </c:pt>
                <c:pt idx="9">
                  <c:v>1.2810999999999999E-2</c:v>
                </c:pt>
                <c:pt idx="10">
                  <c:v>1.3332999999999999E-2</c:v>
                </c:pt>
                <c:pt idx="11">
                  <c:v>1.4302E-2</c:v>
                </c:pt>
                <c:pt idx="12">
                  <c:v>1.5032999999999999E-2</c:v>
                </c:pt>
                <c:pt idx="13">
                  <c:v>1.5468000000000001E-2</c:v>
                </c:pt>
                <c:pt idx="14">
                  <c:v>1.6374E-2</c:v>
                </c:pt>
                <c:pt idx="15">
                  <c:v>1.6959999999999999E-2</c:v>
                </c:pt>
                <c:pt idx="16">
                  <c:v>1.7274999999999999E-2</c:v>
                </c:pt>
                <c:pt idx="17">
                  <c:v>1.8298999999999999E-2</c:v>
                </c:pt>
                <c:pt idx="18">
                  <c:v>1.9626000000000001E-2</c:v>
                </c:pt>
                <c:pt idx="19">
                  <c:v>2.2016000000000001E-2</c:v>
                </c:pt>
                <c:pt idx="20">
                  <c:v>2.5432E-2</c:v>
                </c:pt>
                <c:pt idx="21">
                  <c:v>2.5780999999999998E-2</c:v>
                </c:pt>
                <c:pt idx="22">
                  <c:v>2.7189999999999999E-2</c:v>
                </c:pt>
                <c:pt idx="23">
                  <c:v>2.7546999999999999E-2</c:v>
                </c:pt>
                <c:pt idx="24">
                  <c:v>2.9458000000000002E-2</c:v>
                </c:pt>
                <c:pt idx="25">
                  <c:v>3.0401999999999998E-2</c:v>
                </c:pt>
                <c:pt idx="26">
                  <c:v>3.0581000000000001E-2</c:v>
                </c:pt>
                <c:pt idx="27">
                  <c:v>3.5446999999999999E-2</c:v>
                </c:pt>
                <c:pt idx="28">
                  <c:v>4.3586E-2</c:v>
                </c:pt>
                <c:pt idx="29">
                  <c:v>5.6530999999999998E-2</c:v>
                </c:pt>
                <c:pt idx="30">
                  <c:v>7.6393000000000003E-2</c:v>
                </c:pt>
                <c:pt idx="31">
                  <c:v>0.110722</c:v>
                </c:pt>
              </c:numCache>
            </c:numRef>
          </c:val>
          <c:extLst>
            <c:ext xmlns:c15="http://schemas.microsoft.com/office/drawing/2012/chart" uri="{02D57815-91ED-43cb-92C2-25804820EDAC}">
              <c15:datalabelsRange>
                <c15:f>'2011 State Charts'!$D$5:$D$36</c15:f>
                <c15:dlblRangeCache>
                  <c:ptCount val="32"/>
                  <c:pt idx="0">
                    <c:v>0.05%</c:v>
                  </c:pt>
                  <c:pt idx="1">
                    <c:v>0.26%</c:v>
                  </c:pt>
                  <c:pt idx="2">
                    <c:v>0.26%</c:v>
                  </c:pt>
                  <c:pt idx="3">
                    <c:v>0.45%</c:v>
                  </c:pt>
                  <c:pt idx="4">
                    <c:v>0.62%</c:v>
                  </c:pt>
                  <c:pt idx="5">
                    <c:v>0.72%</c:v>
                  </c:pt>
                  <c:pt idx="6">
                    <c:v>0.77%</c:v>
                  </c:pt>
                  <c:pt idx="7">
                    <c:v>0.83%</c:v>
                  </c:pt>
                  <c:pt idx="8">
                    <c:v>0.88%</c:v>
                  </c:pt>
                  <c:pt idx="9">
                    <c:v>1.74%</c:v>
                  </c:pt>
                  <c:pt idx="10">
                    <c:v>1.81%</c:v>
                  </c:pt>
                  <c:pt idx="11">
                    <c:v>1.94%</c:v>
                  </c:pt>
                  <c:pt idx="12">
                    <c:v>2.04%</c:v>
                  </c:pt>
                  <c:pt idx="13">
                    <c:v>2.10%</c:v>
                  </c:pt>
                  <c:pt idx="14">
                    <c:v>2.22%</c:v>
                  </c:pt>
                  <c:pt idx="15">
                    <c:v>2.30%</c:v>
                  </c:pt>
                  <c:pt idx="16">
                    <c:v>2.35%</c:v>
                  </c:pt>
                  <c:pt idx="17">
                    <c:v>2.49%</c:v>
                  </c:pt>
                  <c:pt idx="18">
                    <c:v>2.67%</c:v>
                  </c:pt>
                  <c:pt idx="19">
                    <c:v>2.99%</c:v>
                  </c:pt>
                  <c:pt idx="20">
                    <c:v>3.45%</c:v>
                  </c:pt>
                  <c:pt idx="21">
                    <c:v>3.50%</c:v>
                  </c:pt>
                  <c:pt idx="22">
                    <c:v>3.69%</c:v>
                  </c:pt>
                  <c:pt idx="23">
                    <c:v>3.74%</c:v>
                  </c:pt>
                  <c:pt idx="24">
                    <c:v>4.00%</c:v>
                  </c:pt>
                  <c:pt idx="25">
                    <c:v>4.13%</c:v>
                  </c:pt>
                  <c:pt idx="26">
                    <c:v>4.15%</c:v>
                  </c:pt>
                  <c:pt idx="27">
                    <c:v>4.81%</c:v>
                  </c:pt>
                  <c:pt idx="28">
                    <c:v>5.92%</c:v>
                  </c:pt>
                  <c:pt idx="29">
                    <c:v>7.68%</c:v>
                  </c:pt>
                  <c:pt idx="30">
                    <c:v>10.38%</c:v>
                  </c:pt>
                  <c:pt idx="31">
                    <c:v>15.04%</c:v>
                  </c:pt>
                </c15:dlblRangeCache>
              </c15:datalabelsRange>
            </c:ext>
          </c:extLst>
        </c:ser>
        <c:dLbls>
          <c:dLblPos val="outEnd"/>
          <c:showLegendKey val="0"/>
          <c:showVal val="1"/>
          <c:showCatName val="0"/>
          <c:showSerName val="0"/>
          <c:showPercent val="0"/>
          <c:showBubbleSize val="0"/>
        </c:dLbls>
        <c:gapWidth val="219"/>
        <c:axId val="427487464"/>
        <c:axId val="427487856"/>
      </c:barChart>
      <c:catAx>
        <c:axId val="427487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487856"/>
        <c:crosses val="autoZero"/>
        <c:auto val="1"/>
        <c:lblAlgn val="ctr"/>
        <c:lblOffset val="100"/>
        <c:noMultiLvlLbl val="0"/>
      </c:catAx>
      <c:valAx>
        <c:axId val="427487856"/>
        <c:scaling>
          <c:orientation val="minMax"/>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a:pPr>
                <a:r>
                  <a:rPr lang="en-US"/>
                  <a:t>Sulfate Contribution (</a:t>
                </a:r>
                <a:r>
                  <a:rPr lang="el-GR" sz="1000" b="1" i="0" u="none" strike="noStrike" baseline="0">
                    <a:effectLst/>
                  </a:rPr>
                  <a:t>μ</a:t>
                </a:r>
                <a:r>
                  <a:rPr lang="en-US" sz="1000" b="1" i="0" u="none" strike="noStrike" baseline="0">
                    <a:effectLst/>
                  </a:rPr>
                  <a:t>g/m</a:t>
                </a:r>
                <a:r>
                  <a:rPr lang="en-US" sz="1000" b="1" i="0" u="none" strike="noStrike" baseline="30000">
                    <a:effectLst/>
                  </a:rPr>
                  <a:t>3</a:t>
                </a:r>
                <a:r>
                  <a:rPr lang="en-US"/>
                  <a:t>)</a:t>
                </a:r>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487464"/>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[draftQdC2018SCCStateSummary.xlsx]2018 State Charts!PivotTable2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2018</a:t>
            </a:r>
          </a:p>
        </c:rich>
      </c:tx>
      <c:layout/>
      <c:overlay val="0"/>
      <c:spPr>
        <a:noFill/>
        <a:ln>
          <a:noFill/>
        </a:ln>
        <a:effectLst/>
      </c:sp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
        <c:idx val="3"/>
        <c:spPr>
          <a:solidFill>
            <a:schemeClr val="accent2"/>
          </a:solidFill>
          <a:ln>
            <a:noFill/>
          </a:ln>
          <a:effectLst/>
        </c:spPr>
        <c:marker>
          <c:symbol val="none"/>
        </c:marker>
      </c:pivotFmt>
      <c:pivotFmt>
        <c:idx val="4"/>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AAE06DC-8329-4384-974A-CF2C1ECC282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DB19C28-38FA-4449-9936-56C3D7FC2A9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D2C9F6-3A2D-47DF-8058-FE62A1190B7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C465534-EAB4-4EFB-9C1D-FED9FD0BE83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E9A8ED7-0B79-4553-B7D1-1D8EB731CAE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A81B97-64A2-4D3B-BC8C-E9F8E4873B4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0E285E3-F66D-4DCB-A11F-C9C2B201AF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BC79428-4ABB-4080-B76E-B11B8B223E4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8E8B40C-DFDD-4288-903F-D9179AC94CB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61A7640-C52C-4AAC-ACBF-F54B5D1F1B8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6DA3FC3-A5A7-41F4-AF9A-EC13B46CAA4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F44B20-6B5E-40F4-B3E3-196002F0583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727696B-8BAB-4D35-8D52-74374C88BA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3E9FD97-C2DC-4B3A-81FF-6F343CA6E4E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EB173CE-AD9A-4B42-A891-B20C92CC517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52C6EB0-28A3-4795-A9E6-EC04992C794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018635-0C51-4E13-90DD-229D0D00F9D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0780DBC-33B3-4DAF-A5EE-ECA3316DD9D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2E90BC-79EB-4CEF-B425-BA9EBB0EA8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9367A93-3C5F-412A-8332-4AE78E720E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6D24922-5E97-4806-A524-A5878ED9AAF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EDBA09E-92C5-407E-9CD3-CE665D05789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B32C05F-6846-4D59-BEE2-CF6BFF9AE41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0B8A5DA-205D-42AE-AF15-84CA90A391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47ADCBF-35B9-4574-891B-E03A1B25DE5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A4E685-EC9D-4E23-BE22-BE089EAC5F2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364993C-68FE-42CC-A93B-DF9E9EC2CDC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86E0B0-A702-478B-BD49-B4AD1333ED1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2A08A1-AEFC-4DCE-B0CF-88B91408228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248E09-88B9-4CF6-923F-BDCDC4D1CEA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38DDA67-F2EE-4B51-8230-88A57099706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26A4637-E3EA-4628-86A4-69EBE4D6210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7"/>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3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3B5B09F-9AC6-4539-943C-273A089B0B0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1271E73-9DB4-403A-AA92-1286E3C7CEE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043450D-21BB-4746-8484-609D437083F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829FED6-45AA-4AAD-B150-C209CAF8B31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576B0C5-B958-44A6-A287-3D08C21AB4D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71B2CF-DED8-4D44-9495-BD5C16EEA4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896EECA-88E0-4093-BF3D-200DFA47F83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519D3A-341D-4077-8A53-FF813639D4F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FFEB58-0625-4E8F-A3AB-9AF79A1AC05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C9685A-3324-447B-9D8D-8B1389430C5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F99F767-A9F3-41A3-8535-590A6713B42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3CC9559-BADC-406B-8906-EDD156B5B37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BD01F5F-E8F9-43D8-9FA4-54E90FC4335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F66FF6-F45F-4F10-91D8-7F34B9F05A7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F27618E-5C81-4490-A993-8120D31B3C0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888648-807F-485D-B41B-A5E7AE6FCEE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86EFCB4-649B-4860-8705-CCFB3E8298F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DFF67A5-9EB3-4D0D-A8D9-B2E53BF2082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6E05570-D1C9-42A0-9350-F300B52B7B8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4EA04C-7426-44CA-A75A-51BBBE3B982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95359EB-07DB-4BB5-8510-6E950BD98C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FBB880B-A947-4004-A040-2FF4E29306B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0933833-1CFD-449E-9AC0-0CFD7DDA04F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30E5E72-EAF9-45FC-A3E2-7AE4F8F4296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A359323-B662-40C5-A34D-C093D4812B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F2CE484-1F9F-44FD-9340-A7574E2B780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0DF37AA-E548-4F0C-8AC0-F064383B10B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0C7591D-3A7A-4A7B-A73A-9D3BF097B4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53E1C2-0EA6-414E-A56F-923387262CA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29D356-B1A9-4A70-8CCE-90A6DCDBA73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531385-BDF1-4AC4-9EBF-264F2A84FF6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FD813D4-5B58-4A92-9421-F2613BFDD1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0"/>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7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B62196E-4531-4E0D-9602-E5C8256E0F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8162DF-FE5B-4054-9D80-096B027A5AB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B75EA97-A9FE-48FF-B045-E87709619D8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997C3BB-D937-4BCE-B927-0227A4022CA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B65D7E-3F30-4BED-BFB2-C200F31F9F6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7B65109-7435-4BF1-B039-D155C0F4AF8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5F99A61-C11B-45E5-9389-6A6A90B1194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600D180-0BF5-4AAB-B837-898FC02C5D7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016EA7E-1B80-49BB-8303-2E1B9AAF59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F6542D-49DF-4397-AE6F-EAB3E9338B7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481E138-3AB5-4B09-AEDE-BCDAF665E7F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BD332F4-7E58-46D8-BF5F-D2F07F9FF5B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33B4AB8-30E7-44A0-B554-A40546EF380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37A7A38-43B5-408B-B096-C71FE111874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3370DEE-3905-4AE5-A37A-D5A77FAE9DF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5CAE330-8B9E-4EB2-95A3-CA6A6CF3108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9DD6C78-E365-4322-9041-9A4FA4BD9FF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F2B09D-7A3B-45F8-8EA3-8E5B56DF0B3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FAC057-4DA2-4465-9206-FE6E2E33CC0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CEFF18-4770-41D5-90D1-E3B217CB11C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4A9325A-8CC8-458F-B2C8-17F6C9C220C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14995A3-9C53-4135-B9C4-CEDCE586BD0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9E3D3D-70FA-4F23-AA35-E168E34F6C5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0159926-CC6E-423E-BBD4-E2EA22B4A12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C37A461-207B-4B42-8615-915C587FA62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5CDB931-D70D-4E00-8BE3-4CD0F3EAD8A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4BE9B6E-EA99-4EA2-BF99-A40FB6F6070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7E626F-D3DB-4C6F-8452-2EA2E249113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5C5525D-0AB9-4E3A-A38F-00FAE15791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A1D3540-EAE1-4EC8-815C-B7FDFC9C8C2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615A462-E689-4A9A-BDAC-FD88A767A68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FF53E89-DF86-479F-B3C9-A6EB72929C7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'2018 State Charts'!$B$4</c:f>
              <c:strCache>
                <c:ptCount val="1"/>
                <c:pt idx="0">
                  <c:v>Total</c:v>
                </c:pt>
              </c:strCache>
            </c:strRef>
          </c:tx>
          <c:spPr>
            <a:solidFill>
              <a:schemeClr val="accent2"/>
            </a:solidFill>
            <a:ln>
              <a:noFill/>
            </a:ln>
            <a:effectLst/>
          </c:spPr>
          <c:invertIfNegative val="0"/>
          <c:dLbls>
            <c:dLbl>
              <c:idx val="0"/>
              <c:layout/>
              <c:tx>
                <c:rich>
                  <a:bodyPr/>
                  <a:lstStyle/>
                  <a:p>
                    <a:fld id="{AFB28B8A-8349-4F1F-A3E2-21F533F3C68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a:lstStyle/>
                  <a:p>
                    <a:fld id="{00B07039-820E-4D82-BACA-1089277CD0B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033343B2-AB5A-498C-AD01-5AB14A0A2C4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24439A1F-C30B-4C08-8EFF-70CB84AFB32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8A08470C-BEC6-4B6A-B3CA-5E09C83B151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CF62470D-0D78-41AA-B1C4-E9E37F145E8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66348544-5108-43D1-A8DE-DF14B72CC91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5B94155D-BAD6-46E1-9710-7758EDF696C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a:lstStyle/>
                  <a:p>
                    <a:fld id="{0DECCF1B-CEDE-43CD-A009-824A51CD8B6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a:lstStyle/>
                  <a:p>
                    <a:fld id="{40D5CC92-68AD-425C-B1C4-E4F0EFBD75D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a:lstStyle/>
                  <a:p>
                    <a:fld id="{4D9D30D2-493E-4A97-895C-EAEFA04B44F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a:lstStyle/>
                  <a:p>
                    <a:fld id="{194E6E40-5F12-409D-AF5A-290DAA24DDF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a:lstStyle/>
                  <a:p>
                    <a:fld id="{5434A185-352B-46C9-8BD8-D8963D6DBDC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a:lstStyle/>
                  <a:p>
                    <a:fld id="{58F67E69-E2A7-4B01-8970-A10977A3E3E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a:lstStyle/>
                  <a:p>
                    <a:fld id="{7CED0ADA-B853-4219-BEFD-50F27593D4F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a:lstStyle/>
                  <a:p>
                    <a:fld id="{A2097BD0-842B-427C-9D27-8742CC550B1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a:lstStyle/>
                  <a:p>
                    <a:fld id="{B762C443-DBD3-4F57-A7ED-5192DAA7878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a:lstStyle/>
                  <a:p>
                    <a:fld id="{F2C5B55F-09D0-44E9-AC24-BC17C2ECA17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a:lstStyle/>
                  <a:p>
                    <a:fld id="{9FF2A3CC-A64C-4DE8-B775-7D5CE6568D3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a:lstStyle/>
                  <a:p>
                    <a:fld id="{122C5742-7D11-42E6-B71C-8027217FCA3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a:lstStyle/>
                  <a:p>
                    <a:fld id="{7B02FA55-F3E0-49C2-995C-56D6A74F0F7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a:lstStyle/>
                  <a:p>
                    <a:fld id="{5018E766-BED3-4A3D-B087-B59CE601FD2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a:lstStyle/>
                  <a:p>
                    <a:fld id="{7B67A1FF-A3E2-4AD6-9808-60355AEAF2A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a:lstStyle/>
                  <a:p>
                    <a:fld id="{FEB67884-B073-45BC-856E-090402FECBE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a:lstStyle/>
                  <a:p>
                    <a:fld id="{73318889-B9BB-471D-A90E-0E42AD91C0C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a:lstStyle/>
                  <a:p>
                    <a:fld id="{734CB957-F4E6-45DC-903E-6DAF0E3254F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a:lstStyle/>
                  <a:p>
                    <a:fld id="{8769FD5A-56F0-4577-9AE4-564E9A220BC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a:lstStyle/>
                  <a:p>
                    <a:fld id="{A80451D9-DD6E-4E48-9F4A-58EEA1E09F3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a:lstStyle/>
                  <a:p>
                    <a:fld id="{A0217D38-8C19-40A1-85B5-038E5045DA5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a:lstStyle/>
                  <a:p>
                    <a:fld id="{F8351206-90A2-43C2-AF16-C404F961768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a:lstStyle/>
                  <a:p>
                    <a:fld id="{16AE9F63-F59B-468A-BCB9-701BE3A0C79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1"/>
              <c:layout/>
              <c:tx>
                <c:rich>
                  <a:bodyPr/>
                  <a:lstStyle/>
                  <a:p>
                    <a:fld id="{04835289-F3AD-4F39-82A5-D70E027E2F7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'2018 State Charts'!$D$5:$D$36</c:f>
              <c:strCache>
                <c:ptCount val="32"/>
                <c:pt idx="0">
                  <c:v>DC</c:v>
                </c:pt>
                <c:pt idx="1">
                  <c:v>VT</c:v>
                </c:pt>
                <c:pt idx="2">
                  <c:v>CT</c:v>
                </c:pt>
                <c:pt idx="3">
                  <c:v>RI</c:v>
                </c:pt>
                <c:pt idx="4">
                  <c:v>DE</c:v>
                </c:pt>
                <c:pt idx="5">
                  <c:v>NJ</c:v>
                </c:pt>
                <c:pt idx="6">
                  <c:v>MA</c:v>
                </c:pt>
                <c:pt idx="7">
                  <c:v>NH</c:v>
                </c:pt>
                <c:pt idx="8">
                  <c:v>MN</c:v>
                </c:pt>
                <c:pt idx="9">
                  <c:v>ME</c:v>
                </c:pt>
                <c:pt idx="10">
                  <c:v>IA</c:v>
                </c:pt>
                <c:pt idx="11">
                  <c:v>GA</c:v>
                </c:pt>
                <c:pt idx="12">
                  <c:v>VA</c:v>
                </c:pt>
                <c:pt idx="13">
                  <c:v>SC</c:v>
                </c:pt>
                <c:pt idx="14">
                  <c:v>MS</c:v>
                </c:pt>
                <c:pt idx="15">
                  <c:v>WI</c:v>
                </c:pt>
                <c:pt idx="16">
                  <c:v>TN</c:v>
                </c:pt>
                <c:pt idx="17">
                  <c:v>AL</c:v>
                </c:pt>
                <c:pt idx="18">
                  <c:v>AR</c:v>
                </c:pt>
                <c:pt idx="19">
                  <c:v>NC</c:v>
                </c:pt>
                <c:pt idx="20">
                  <c:v>LA</c:v>
                </c:pt>
                <c:pt idx="21">
                  <c:v>NY</c:v>
                </c:pt>
                <c:pt idx="22">
                  <c:v>WV</c:v>
                </c:pt>
                <c:pt idx="23">
                  <c:v>MD</c:v>
                </c:pt>
                <c:pt idx="24">
                  <c:v>KY</c:v>
                </c:pt>
                <c:pt idx="25">
                  <c:v>IL</c:v>
                </c:pt>
                <c:pt idx="26">
                  <c:v>MI</c:v>
                </c:pt>
                <c:pt idx="27">
                  <c:v>IN</c:v>
                </c:pt>
                <c:pt idx="28">
                  <c:v>MO</c:v>
                </c:pt>
                <c:pt idx="29">
                  <c:v>TX</c:v>
                </c:pt>
                <c:pt idx="30">
                  <c:v>OH</c:v>
                </c:pt>
                <c:pt idx="31">
                  <c:v>PA</c:v>
                </c:pt>
              </c:strCache>
            </c:strRef>
          </c:cat>
          <c:val>
            <c:numRef>
              <c:f>'2018 State Charts'!$D$5:$D$36</c:f>
              <c:numCache>
                <c:formatCode>General</c:formatCode>
                <c:ptCount val="32"/>
                <c:pt idx="0">
                  <c:v>1.6857559325410433E-4</c:v>
                </c:pt>
                <c:pt idx="1">
                  <c:v>2.0597046008462628E-4</c:v>
                </c:pt>
                <c:pt idx="2">
                  <c:v>3.7837319057484512E-4</c:v>
                </c:pt>
                <c:pt idx="3">
                  <c:v>4.6527195951769908E-4</c:v>
                </c:pt>
                <c:pt idx="4">
                  <c:v>8.4994452055115279E-4</c:v>
                </c:pt>
                <c:pt idx="5">
                  <c:v>1.4561615065644732E-3</c:v>
                </c:pt>
                <c:pt idx="6">
                  <c:v>2.376520289310164E-3</c:v>
                </c:pt>
                <c:pt idx="7">
                  <c:v>2.9325132549119456E-3</c:v>
                </c:pt>
                <c:pt idx="8">
                  <c:v>3.2276189368088495E-3</c:v>
                </c:pt>
                <c:pt idx="9">
                  <c:v>3.7321799110162524E-3</c:v>
                </c:pt>
                <c:pt idx="10">
                  <c:v>4.0286898787819398E-3</c:v>
                </c:pt>
                <c:pt idx="11">
                  <c:v>4.0743006972822635E-3</c:v>
                </c:pt>
                <c:pt idx="12">
                  <c:v>4.3328460279112137E-3</c:v>
                </c:pt>
                <c:pt idx="13">
                  <c:v>4.3596528850480681E-3</c:v>
                </c:pt>
                <c:pt idx="14">
                  <c:v>4.6972275608848707E-3</c:v>
                </c:pt>
                <c:pt idx="15">
                  <c:v>5.7337998810457827E-3</c:v>
                </c:pt>
                <c:pt idx="16">
                  <c:v>5.9676837658136795E-3</c:v>
                </c:pt>
                <c:pt idx="17">
                  <c:v>6.600668345144025E-3</c:v>
                </c:pt>
                <c:pt idx="18">
                  <c:v>7.7836834845224868E-3</c:v>
                </c:pt>
                <c:pt idx="19">
                  <c:v>7.8466440272405898E-3</c:v>
                </c:pt>
                <c:pt idx="20">
                  <c:v>8.8188716522729811E-3</c:v>
                </c:pt>
                <c:pt idx="21">
                  <c:v>9.9675903765161448E-3</c:v>
                </c:pt>
                <c:pt idx="22">
                  <c:v>1.0301802983362376E-2</c:v>
                </c:pt>
                <c:pt idx="23">
                  <c:v>1.1227467966306455E-2</c:v>
                </c:pt>
                <c:pt idx="24">
                  <c:v>1.5462708227590197E-2</c:v>
                </c:pt>
                <c:pt idx="25">
                  <c:v>1.6118920049187035E-2</c:v>
                </c:pt>
                <c:pt idx="26">
                  <c:v>1.7921153877242333E-2</c:v>
                </c:pt>
                <c:pt idx="27">
                  <c:v>2.2200947559378043E-2</c:v>
                </c:pt>
                <c:pt idx="28">
                  <c:v>2.2326675038664614E-2</c:v>
                </c:pt>
                <c:pt idx="29">
                  <c:v>2.7290415843905898E-2</c:v>
                </c:pt>
                <c:pt idx="30">
                  <c:v>3.0218026183197955E-2</c:v>
                </c:pt>
                <c:pt idx="31">
                  <c:v>3.4426759735730061E-2</c:v>
                </c:pt>
              </c:numCache>
            </c:numRef>
          </c:val>
          <c:extLst>
            <c:ext xmlns:c15="http://schemas.microsoft.com/office/drawing/2012/chart" uri="{02D57815-91ED-43cb-92C2-25804820EDAC}">
              <c15:datalabelsRange>
                <c15:f>'2018 State Charts'!$D$5:$D$36</c15:f>
                <c15:dlblRangeCache>
                  <c:ptCount val="32"/>
                  <c:pt idx="0">
                    <c:v>0.06%</c:v>
                  </c:pt>
                  <c:pt idx="1">
                    <c:v>0.07%</c:v>
                  </c:pt>
                  <c:pt idx="2">
                    <c:v>0.13%</c:v>
                  </c:pt>
                  <c:pt idx="3">
                    <c:v>0.16%</c:v>
                  </c:pt>
                  <c:pt idx="4">
                    <c:v>0.29%</c:v>
                  </c:pt>
                  <c:pt idx="5">
                    <c:v>0.49%</c:v>
                  </c:pt>
                  <c:pt idx="6">
                    <c:v>0.80%</c:v>
                  </c:pt>
                  <c:pt idx="7">
                    <c:v>0.99%</c:v>
                  </c:pt>
                  <c:pt idx="8">
                    <c:v>1.08%</c:v>
                  </c:pt>
                  <c:pt idx="9">
                    <c:v>1.25%</c:v>
                  </c:pt>
                  <c:pt idx="10">
                    <c:v>1.35%</c:v>
                  </c:pt>
                  <c:pt idx="11">
                    <c:v>1.37%</c:v>
                  </c:pt>
                  <c:pt idx="12">
                    <c:v>1.46%</c:v>
                  </c:pt>
                  <c:pt idx="13">
                    <c:v>1.47%</c:v>
                  </c:pt>
                  <c:pt idx="14">
                    <c:v>1.58%</c:v>
                  </c:pt>
                  <c:pt idx="15">
                    <c:v>1.93%</c:v>
                  </c:pt>
                  <c:pt idx="16">
                    <c:v>2.01%</c:v>
                  </c:pt>
                  <c:pt idx="17">
                    <c:v>2.22%</c:v>
                  </c:pt>
                  <c:pt idx="18">
                    <c:v>2.62%</c:v>
                  </c:pt>
                  <c:pt idx="19">
                    <c:v>2.64%</c:v>
                  </c:pt>
                  <c:pt idx="20">
                    <c:v>2.96%</c:v>
                  </c:pt>
                  <c:pt idx="21">
                    <c:v>3.35%</c:v>
                  </c:pt>
                  <c:pt idx="22">
                    <c:v>3.46%</c:v>
                  </c:pt>
                  <c:pt idx="23">
                    <c:v>3.77%</c:v>
                  </c:pt>
                  <c:pt idx="24">
                    <c:v>5.20%</c:v>
                  </c:pt>
                  <c:pt idx="25">
                    <c:v>5.42%</c:v>
                  </c:pt>
                  <c:pt idx="26">
                    <c:v>6.02%</c:v>
                  </c:pt>
                  <c:pt idx="27">
                    <c:v>7.46%</c:v>
                  </c:pt>
                  <c:pt idx="28">
                    <c:v>7.50%</c:v>
                  </c:pt>
                  <c:pt idx="29">
                    <c:v>9.17%</c:v>
                  </c:pt>
                  <c:pt idx="30">
                    <c:v>10.16%</c:v>
                  </c:pt>
                  <c:pt idx="31">
                    <c:v>11.57%</c:v>
                  </c:pt>
                </c15:dlblRangeCache>
              </c15:datalabelsRange>
            </c:ext>
          </c:extLst>
        </c:ser>
        <c:dLbls>
          <c:dLblPos val="outEnd"/>
          <c:showLegendKey val="0"/>
          <c:showVal val="1"/>
          <c:showCatName val="0"/>
          <c:showSerName val="0"/>
          <c:showPercent val="0"/>
          <c:showBubbleSize val="0"/>
        </c:dLbls>
        <c:gapWidth val="219"/>
        <c:axId val="430353600"/>
        <c:axId val="430353992"/>
      </c:barChart>
      <c:catAx>
        <c:axId val="43035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353992"/>
        <c:crosses val="autoZero"/>
        <c:auto val="1"/>
        <c:lblAlgn val="ctr"/>
        <c:lblOffset val="100"/>
        <c:noMultiLvlLbl val="0"/>
      </c:catAx>
      <c:valAx>
        <c:axId val="430353992"/>
        <c:scaling>
          <c:orientation val="minMax"/>
          <c:max val="0.15000000000000002"/>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1000"/>
                </a:pPr>
                <a:r>
                  <a:rPr lang="en-US" sz="1000" b="0" i="0" baseline="0">
                    <a:effectLst/>
                  </a:rPr>
                  <a:t>Sulfate Contribution (</a:t>
                </a:r>
                <a:r>
                  <a:rPr lang="el-GR" sz="1000" b="0" i="0" u="none" strike="noStrike" baseline="0">
                    <a:effectLst/>
                  </a:rPr>
                  <a:t>μ</a:t>
                </a:r>
                <a:r>
                  <a:rPr lang="en-US" sz="1000" b="0" i="0" u="none" strike="noStrike" baseline="0">
                    <a:effectLst/>
                  </a:rPr>
                  <a:t>g/m</a:t>
                </a:r>
                <a:r>
                  <a:rPr lang="en-US" sz="1000" b="0" i="0" u="none" strike="noStrike" baseline="30000">
                    <a:effectLst/>
                  </a:rPr>
                  <a:t>3</a:t>
                </a:r>
                <a:r>
                  <a:rPr lang="en-US" sz="1000" b="0" i="0" baseline="0">
                    <a:effectLst/>
                  </a:rPr>
                  <a:t>)</a:t>
                </a:r>
                <a:endParaRPr lang="en-US" sz="1000" b="0">
                  <a:effectLst/>
                </a:endParaRPr>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353600"/>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[draftQdC2018SCCStateSummary.xlsx]2011 State Charts!PivotTable3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2011</a:t>
            </a:r>
          </a:p>
        </c:rich>
      </c:tx>
      <c:layout/>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94CC48-81D9-4328-8D66-679574C488C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80E65D-D634-4759-BD6B-A1B5AA4312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44EF6D-BE15-4334-B3CA-DBF849F48EE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CD1BAA1-8DA5-4A84-B95F-3B2C4EA02EF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EB7240-84FC-4012-AFD1-71DD6DF4F06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ACF69E-C57F-45D9-AE86-A92AB7E57B8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24A4E9-0865-403C-991D-8EA30C527F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31D4221-5CC5-4BE6-B04E-5C3E624018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A5A587-D60A-4387-AC68-F0B629456B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B2584-C921-434C-A185-9A6EB25A8ED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A3140DC-2ED7-405B-8DEE-E80E28C1AA5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728D6CD-D250-4630-9E78-EB244EF831D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9F5E57E-F8F5-47BF-8600-AA9F8C77B26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8342D06-6CAF-4920-AB7F-31E8BD3F2BD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BC2B37-F8AD-4935-8373-B1B40F8BC99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E75BEB-49BC-48DD-8B62-11CE841116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CC3BCCE-140B-41A4-9686-2DE98EA79F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DE713A-7D14-4F36-A9AA-1A648594CEB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A0CAFC-1043-47D3-8679-3E9F9E930EB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11F3AE0-C599-4EC0-98FB-C061A29A6B7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CEC439-2626-4F9C-A65E-A3082DC8A0E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374F67-4EDE-4F60-98DF-AA6466877B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823837-3DD2-4CB5-A8E2-9C43310CB94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61CABA-DF0A-46CB-B3C4-F79533183D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2B9097-930D-4611-ABC1-3CD6484CF98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138D54-6919-4F9E-A483-1C207842CAE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9A0D111-E370-4943-81D9-9F166BD9603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B692B9-2A6C-4BC3-993C-9582AFFB762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01A262-EDA6-4822-B3A8-81C94FE3A57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7780D5-9B49-42EC-8B68-E6219857A1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FF492EF-F349-41E4-8CD4-238C0450D1E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7381F7-0F3C-444C-846C-2FAD94A36B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EF4107-02A2-457E-8934-7A42D06A388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7C9B561-5322-481D-A713-5F837E8A8A4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65BD4B8-D00E-4E8B-A720-40970CC7246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04721CE-68F0-48A5-9AC4-3DA31C7EFC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8C79C7-AEB1-4375-ADA3-D4ADB6F2D0B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A9F3F43-059F-4D67-9FCA-7E1B966C509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928BB3-1ACE-4D45-8B5D-4348A0F47C0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0AF5289-1890-4B39-BE2D-B86A8E82E37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C1FED4-A98A-47D5-A8CB-28A78C3A57B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E4BCB2-53FF-4734-B3D7-635E5E85BB2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54205E-1D68-4243-B751-C15FFDC3730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1F35E57-E2EA-4B76-9ADD-0A2C18DA4FB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4F60D40-890D-450F-9C43-6C3E0D2E3EC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9E7B137-639E-4FF6-B3D1-11AB7448ADE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3D23408-AB54-4C1F-AD04-35A998E7A21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FCCB186-D5FF-4C22-9BCE-500FF882ED2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672CC0E-8E62-4A7B-87BF-F108ED29838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AA76D8E-7AE7-469A-AEEE-57409C0A99A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0F5F330-99B2-4A75-A8FB-78EB5B13E6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786063-FFBE-49EE-BD08-01F908A14C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E7E70A-1043-43A6-A855-9426A493A5E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3D58BE2-7F2F-4080-B03B-FAFDF2E2CB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8A35FAC-366D-4CF7-B278-4785B55ED40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31A9B56-7829-466D-94C5-EEB30C7CD05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74C901-CAD2-4980-ACD9-BA0A58E2F9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023013-8353-4893-90E6-E973200DA75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129260E-66ED-4621-AB53-8655E3C5C5F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003B8E2-10BD-4BB5-94DB-DD3AE054071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90D91F-9EE3-47D0-A2F2-412B6E83C7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637292-D334-43D7-88E7-17DDB8CB85A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D80F196-3E88-482C-9AB8-5010DD1F9E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FA3338-569E-4FA6-B44B-BE8D7169DC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6D4EE7A-5224-43F4-A192-0C03F48295D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BFDAE8-25C2-4309-971B-04F4CF0CA2B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1904B8-711A-41F1-A9DD-6B8D862C81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B1303C-A4C8-4BAC-B888-7AA7F8ADCB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5470FA-393E-4FAA-AB8D-CFC9E4783EE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6DF5652-8A7E-470A-9630-8CA52B0F7C1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EF7C17-DE97-440C-A477-FB010DE4D8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4B6E0E-BA1F-43F7-899F-0E81D9F7A59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3F7DCA5-136D-4A51-B8AF-D73314408BB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A0458B-E099-4512-ACC7-CCB6C864953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38D29C-552C-4202-9E1C-CA24B2C4C6B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ACBFFDB-97CC-4335-936F-6CE38E1863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5BF9970-1309-43D3-9455-956CE9941CF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6EE287-E75D-4587-867F-DAA07F90C65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158691-8E55-4998-A93D-C428579EF0B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6F5550-C4D4-4551-A8AA-F2E3F90DC63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06F24C2-3F69-40C0-8DCE-7AED4E27B6B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B8CE81-D495-4C1A-BE9E-08765A5DFD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20C153-D7B6-4F21-BAAA-7575810C7FC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B5329B7-9C8B-4845-9D2F-22A61F6BD5D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3DD6BA-8703-4948-A137-50BE42B3B68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A523C5-B8B2-4AF6-B62C-62B56EAC96B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A86CC58-0247-4355-9160-6D1896894A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A200803-05CA-4BF0-BD68-922837F0705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31F4B3-D235-4017-8583-FDBB9940ED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F8AD5A-E6A2-4C25-BAA7-526B3DBA6F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B5C7261-3EF8-46C2-8F77-D690F72DDE0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28DAA2-0E92-46A4-8D8E-4693766EF44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1298547-D5D1-4B26-AAA9-F6F3A3182B2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FE09CD-931E-472F-A1C4-6D63210E140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87B3E6-87A5-4005-AFD9-0339A12F3D1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9B89BC-7A77-45AE-9B79-4514FDF1D61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D83C02-ED2E-4FC5-ACE8-A47A7E9842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B6DE889-F08A-48A1-A522-D95B5D9EA27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F09E931-B5A7-4CBF-961D-F0EAB141788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F09254A-5F1A-4A8A-96D9-58C9519F5D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FD13E9-F6E4-4467-9857-97DC579865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2306C90-DFFB-464D-A1B9-D8978135D5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6CA12A-5550-4521-9894-11DB3507807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7CEF84-2B6E-4A6C-8B32-9152767A67C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CB9DEAA-81EA-4E4B-AEA5-013E0CA5B00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3F07B5-0B48-4188-A36F-EEF6C6499EC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F00DECE-FE79-44C6-B33B-8F2B45B7EC4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7F75FC-7659-46AD-8740-3CB0D2C4907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CFEEBA9-D677-4DDB-B2E1-31B4AA576EF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E8E31D2-67FF-47D0-9DA7-5ADD4D4C5B7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EF646A-088B-45FB-BF8B-DE421B5A48B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3E136B-A4E7-49C5-8533-CC6A891CEE1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5FC45A-3AFE-4AFD-886E-BD64532D36D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DF473DA-66CD-4C3D-9CC7-7384AC42A3B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19B3D1-DE28-46EB-9F3C-8A8ACF7A94D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347BB2-1DFE-4EE3-B0D1-5CDF69E6ED1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FBF8853-3A0E-412B-B158-41B35F2AEBD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48889B8-30D7-49E2-89C7-C7ACB389CD8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30647A-9F46-4818-8099-83647327C93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F39608-6522-4F60-8A06-96FCAEC92A0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76F937-59D4-474B-9C1E-ABF496CF5C8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C007CF-584F-401E-9046-9947E39A332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D588009-8641-4505-8770-20D30E03815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080981-DB71-4D43-940D-2C7EC63FFF2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30E443-6C99-4286-B8BB-07C7D69B92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DE722F-35DE-480F-B872-CDBBD506BC2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B60EEB5-CD61-490E-B7C2-8F49FE550A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6FD23D1-147F-457E-8F54-D74963DC67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'2011 State Charts'!$F$4</c:f>
              <c:strCache>
                <c:ptCount val="1"/>
                <c:pt idx="0">
                  <c:v>Total</c:v>
                </c:pt>
              </c:strCache>
            </c:strRef>
          </c:tx>
          <c:spPr>
            <a:solidFill>
              <a:schemeClr val="accent1"/>
            </a:solidFill>
            <a:ln>
              <a:noFill/>
            </a:ln>
            <a:effectLst/>
          </c:spPr>
          <c:invertIfNegative val="0"/>
          <c:dLbls>
            <c:dLbl>
              <c:idx val="0"/>
              <c:layout/>
              <c:tx>
                <c:rich>
                  <a:bodyPr/>
                  <a:lstStyle/>
                  <a:p>
                    <a:fld id="{B47357F1-3A92-4313-9B86-282BA58BD1E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a:lstStyle/>
                  <a:p>
                    <a:fld id="{ECD20FC4-424F-4C63-B0F5-83C1D8BA96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CABD66C0-B4A5-4E7C-B0E6-32E583CD27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B1F420C4-B5A3-44BF-9DAF-CB1CEA8085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2C1A32C3-79D0-484F-B225-CC37C5C52E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E4004EF1-BA69-4743-8D4C-8ACF0FF936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9C035B54-27A7-4871-9DED-B76068BCC6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BAA0DD11-F134-4E95-94FE-4A529DEFA6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a:lstStyle/>
                  <a:p>
                    <a:fld id="{65038212-5AA8-47F1-90DF-74228195C3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a:lstStyle/>
                  <a:p>
                    <a:fld id="{D5561401-6739-4E77-BF9F-B4642B228E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a:lstStyle/>
                  <a:p>
                    <a:fld id="{E1A869E6-B08B-4A3A-BAD3-2718158094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a:lstStyle/>
                  <a:p>
                    <a:fld id="{4D7C410F-619E-469E-9BEE-E0AFBE3145F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a:lstStyle/>
                  <a:p>
                    <a:fld id="{E1532131-83A9-4682-AB13-6060623963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a:lstStyle/>
                  <a:p>
                    <a:fld id="{5718B474-CC10-4C7A-9B96-DFE92F8519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a:lstStyle/>
                  <a:p>
                    <a:fld id="{A7AC5DBF-607A-4603-BF11-2C5F67D5A5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a:lstStyle/>
                  <a:p>
                    <a:fld id="{50C9DD34-F59D-4CDF-9B88-2008C1A773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a:lstStyle/>
                  <a:p>
                    <a:fld id="{49A345B0-5AA9-4504-973B-8D742F6E32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a:lstStyle/>
                  <a:p>
                    <a:fld id="{3F6EE41D-0E6B-4995-A988-C2AF54E008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a:lstStyle/>
                  <a:p>
                    <a:fld id="{E30565B2-100A-4ED9-965D-48A27383B2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a:lstStyle/>
                  <a:p>
                    <a:fld id="{3E0A88C2-2BB0-4B81-BD7D-95F08C2C09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a:lstStyle/>
                  <a:p>
                    <a:fld id="{30EF4C84-2F7D-4472-9314-9C01CB994A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a:lstStyle/>
                  <a:p>
                    <a:fld id="{ECDEC81B-2DDB-4776-A793-2E94586367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a:lstStyle/>
                  <a:p>
                    <a:fld id="{CB785DAB-50D5-4132-A306-235DE3C3DE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a:lstStyle/>
                  <a:p>
                    <a:fld id="{9C45F928-F92D-4FA3-B721-7C7B3A2BF2E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a:lstStyle/>
                  <a:p>
                    <a:fld id="{CF7A2D4B-31EE-4138-A34B-A7938ED9B0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a:lstStyle/>
                  <a:p>
                    <a:fld id="{25AE050B-73AD-4977-9D3C-84D3AA9EB09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a:lstStyle/>
                  <a:p>
                    <a:fld id="{A1E13985-AC5E-481D-9AF2-5F818102CF2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a:lstStyle/>
                  <a:p>
                    <a:fld id="{776DEBEA-4D37-48C0-A8B9-7D9923C9625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a:lstStyle/>
                  <a:p>
                    <a:fld id="{74AE297B-3D27-4801-BEB8-890C68BD97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a:lstStyle/>
                  <a:p>
                    <a:fld id="{AE762E3D-3387-4A6B-8A1C-A4DC9BBC07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a:lstStyle/>
                  <a:p>
                    <a:fld id="{A94715AE-88E0-478A-8F46-228337DF19A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1"/>
              <c:layout/>
              <c:tx>
                <c:rich>
                  <a:bodyPr/>
                  <a:lstStyle/>
                  <a:p>
                    <a:fld id="{248936BA-3167-4C10-9368-C74AE199A1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'2011 State Charts'!$H$5:$H$36</c:f>
              <c:strCache>
                <c:ptCount val="32"/>
                <c:pt idx="0">
                  <c:v>VT</c:v>
                </c:pt>
                <c:pt idx="1">
                  <c:v>RI</c:v>
                </c:pt>
                <c:pt idx="2">
                  <c:v>DC</c:v>
                </c:pt>
                <c:pt idx="3">
                  <c:v>ME</c:v>
                </c:pt>
                <c:pt idx="4">
                  <c:v>MN</c:v>
                </c:pt>
                <c:pt idx="5">
                  <c:v>CT</c:v>
                </c:pt>
                <c:pt idx="6">
                  <c:v>NH</c:v>
                </c:pt>
                <c:pt idx="7">
                  <c:v>MS</c:v>
                </c:pt>
                <c:pt idx="8">
                  <c:v>AR</c:v>
                </c:pt>
                <c:pt idx="9">
                  <c:v>WI</c:v>
                </c:pt>
                <c:pt idx="10">
                  <c:v>IA</c:v>
                </c:pt>
                <c:pt idx="11">
                  <c:v>MA</c:v>
                </c:pt>
                <c:pt idx="12">
                  <c:v>NJ</c:v>
                </c:pt>
                <c:pt idx="13">
                  <c:v>SC</c:v>
                </c:pt>
                <c:pt idx="14">
                  <c:v>LA</c:v>
                </c:pt>
                <c:pt idx="15">
                  <c:v>MO</c:v>
                </c:pt>
                <c:pt idx="16">
                  <c:v>TN</c:v>
                </c:pt>
                <c:pt idx="17">
                  <c:v>DE</c:v>
                </c:pt>
                <c:pt idx="18">
                  <c:v>MI</c:v>
                </c:pt>
                <c:pt idx="19">
                  <c:v>NC</c:v>
                </c:pt>
                <c:pt idx="20">
                  <c:v>IL</c:v>
                </c:pt>
                <c:pt idx="21">
                  <c:v>AL</c:v>
                </c:pt>
                <c:pt idx="22">
                  <c:v>GA</c:v>
                </c:pt>
                <c:pt idx="23">
                  <c:v>TX</c:v>
                </c:pt>
                <c:pt idx="24">
                  <c:v>WV</c:v>
                </c:pt>
                <c:pt idx="25">
                  <c:v>NY</c:v>
                </c:pt>
                <c:pt idx="26">
                  <c:v>VA</c:v>
                </c:pt>
                <c:pt idx="27">
                  <c:v>KY</c:v>
                </c:pt>
                <c:pt idx="28">
                  <c:v>IN</c:v>
                </c:pt>
                <c:pt idx="29">
                  <c:v>MD</c:v>
                </c:pt>
                <c:pt idx="30">
                  <c:v>OH</c:v>
                </c:pt>
                <c:pt idx="31">
                  <c:v>PA</c:v>
                </c:pt>
              </c:strCache>
            </c:strRef>
          </c:cat>
          <c:val>
            <c:numRef>
              <c:f>'2011 State Charts'!$H$5:$H$36</c:f>
              <c:numCache>
                <c:formatCode>General</c:formatCode>
                <c:ptCount val="32"/>
                <c:pt idx="0">
                  <c:v>5.7200000000000003E-4</c:v>
                </c:pt>
                <c:pt idx="1">
                  <c:v>1.1559999999999999E-3</c:v>
                </c:pt>
                <c:pt idx="2">
                  <c:v>1.2869999999999999E-3</c:v>
                </c:pt>
                <c:pt idx="3">
                  <c:v>2.068E-3</c:v>
                </c:pt>
                <c:pt idx="4">
                  <c:v>3.6979999999999999E-3</c:v>
                </c:pt>
                <c:pt idx="5">
                  <c:v>5.1630000000000001E-3</c:v>
                </c:pt>
                <c:pt idx="6">
                  <c:v>5.7499999999999999E-3</c:v>
                </c:pt>
                <c:pt idx="7">
                  <c:v>6.6220000000000003E-3</c:v>
                </c:pt>
                <c:pt idx="8">
                  <c:v>8.9759999999999996E-3</c:v>
                </c:pt>
                <c:pt idx="9">
                  <c:v>1.0026E-2</c:v>
                </c:pt>
                <c:pt idx="10">
                  <c:v>1.0659E-2</c:v>
                </c:pt>
                <c:pt idx="11">
                  <c:v>1.1183E-2</c:v>
                </c:pt>
                <c:pt idx="12">
                  <c:v>1.4794E-2</c:v>
                </c:pt>
                <c:pt idx="13">
                  <c:v>1.9819E-2</c:v>
                </c:pt>
                <c:pt idx="14">
                  <c:v>2.0910999999999999E-2</c:v>
                </c:pt>
                <c:pt idx="15">
                  <c:v>2.2057E-2</c:v>
                </c:pt>
                <c:pt idx="16">
                  <c:v>2.3040000000000001E-2</c:v>
                </c:pt>
                <c:pt idx="17">
                  <c:v>2.5876E-2</c:v>
                </c:pt>
                <c:pt idx="18">
                  <c:v>2.6884999999999999E-2</c:v>
                </c:pt>
                <c:pt idx="19">
                  <c:v>3.0265E-2</c:v>
                </c:pt>
                <c:pt idx="20">
                  <c:v>3.1115E-2</c:v>
                </c:pt>
                <c:pt idx="21">
                  <c:v>3.4159000000000002E-2</c:v>
                </c:pt>
                <c:pt idx="22">
                  <c:v>3.5036999999999999E-2</c:v>
                </c:pt>
                <c:pt idx="23">
                  <c:v>3.9565000000000003E-2</c:v>
                </c:pt>
                <c:pt idx="24">
                  <c:v>4.0104000000000001E-2</c:v>
                </c:pt>
                <c:pt idx="25">
                  <c:v>4.4764999999999999E-2</c:v>
                </c:pt>
                <c:pt idx="26">
                  <c:v>5.0458000000000003E-2</c:v>
                </c:pt>
                <c:pt idx="27">
                  <c:v>5.1056999999999998E-2</c:v>
                </c:pt>
                <c:pt idx="28">
                  <c:v>5.4433000000000002E-2</c:v>
                </c:pt>
                <c:pt idx="29">
                  <c:v>6.2602000000000005E-2</c:v>
                </c:pt>
                <c:pt idx="30">
                  <c:v>0.122695</c:v>
                </c:pt>
                <c:pt idx="31">
                  <c:v>0.14418500000000001</c:v>
                </c:pt>
              </c:numCache>
            </c:numRef>
          </c:val>
          <c:extLst>
            <c:ext xmlns:c15="http://schemas.microsoft.com/office/drawing/2012/chart" uri="{02D57815-91ED-43cb-92C2-25804820EDAC}">
              <c15:datalabelsRange>
                <c15:f>'2011 State Charts'!$H$5:$H$36</c15:f>
                <c15:dlblRangeCache>
                  <c:ptCount val="32"/>
                  <c:pt idx="0">
                    <c:v>0.06%</c:v>
                  </c:pt>
                  <c:pt idx="1">
                    <c:v>0.12%</c:v>
                  </c:pt>
                  <c:pt idx="2">
                    <c:v>0.13%</c:v>
                  </c:pt>
                  <c:pt idx="3">
                    <c:v>0.22%</c:v>
                  </c:pt>
                  <c:pt idx="4">
                    <c:v>0.38%</c:v>
                  </c:pt>
                  <c:pt idx="5">
                    <c:v>0.54%</c:v>
                  </c:pt>
                  <c:pt idx="6">
                    <c:v>0.60%</c:v>
                  </c:pt>
                  <c:pt idx="7">
                    <c:v>0.69%</c:v>
                  </c:pt>
                  <c:pt idx="8">
                    <c:v>0.93%</c:v>
                  </c:pt>
                  <c:pt idx="9">
                    <c:v>1.04%</c:v>
                  </c:pt>
                  <c:pt idx="10">
                    <c:v>1.11%</c:v>
                  </c:pt>
                  <c:pt idx="11">
                    <c:v>1.16%</c:v>
                  </c:pt>
                  <c:pt idx="12">
                    <c:v>1.54%</c:v>
                  </c:pt>
                  <c:pt idx="13">
                    <c:v>2.06%</c:v>
                  </c:pt>
                  <c:pt idx="14">
                    <c:v>2.18%</c:v>
                  </c:pt>
                  <c:pt idx="15">
                    <c:v>2.30%</c:v>
                  </c:pt>
                  <c:pt idx="16">
                    <c:v>2.40%</c:v>
                  </c:pt>
                  <c:pt idx="17">
                    <c:v>2.69%</c:v>
                  </c:pt>
                  <c:pt idx="18">
                    <c:v>2.80%</c:v>
                  </c:pt>
                  <c:pt idx="19">
                    <c:v>3.15%</c:v>
                  </c:pt>
                  <c:pt idx="20">
                    <c:v>3.24%</c:v>
                  </c:pt>
                  <c:pt idx="21">
                    <c:v>3.55%</c:v>
                  </c:pt>
                  <c:pt idx="22">
                    <c:v>3.65%</c:v>
                  </c:pt>
                  <c:pt idx="23">
                    <c:v>4.12%</c:v>
                  </c:pt>
                  <c:pt idx="24">
                    <c:v>4.17%</c:v>
                  </c:pt>
                  <c:pt idx="25">
                    <c:v>4.66%</c:v>
                  </c:pt>
                  <c:pt idx="26">
                    <c:v>5.25%</c:v>
                  </c:pt>
                  <c:pt idx="27">
                    <c:v>5.31%</c:v>
                  </c:pt>
                  <c:pt idx="28">
                    <c:v>5.66%</c:v>
                  </c:pt>
                  <c:pt idx="29">
                    <c:v>6.51%</c:v>
                  </c:pt>
                  <c:pt idx="30">
                    <c:v>12.77%</c:v>
                  </c:pt>
                  <c:pt idx="31">
                    <c:v>15.00%</c:v>
                  </c:pt>
                </c15:dlblRangeCache>
              </c15:datalabelsRange>
            </c:ext>
          </c:extLst>
        </c:ser>
        <c:dLbls>
          <c:showLegendKey val="0"/>
          <c:showVal val="0"/>
          <c:showCatName val="0"/>
          <c:showSerName val="0"/>
          <c:showPercent val="0"/>
          <c:showBubbleSize val="0"/>
        </c:dLbls>
        <c:gapWidth val="150"/>
        <c:axId val="430354776"/>
        <c:axId val="430355168"/>
      </c:barChart>
      <c:catAx>
        <c:axId val="430354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355168"/>
        <c:crosses val="autoZero"/>
        <c:auto val="1"/>
        <c:lblAlgn val="ctr"/>
        <c:lblOffset val="100"/>
        <c:noMultiLvlLbl val="0"/>
      </c:catAx>
      <c:valAx>
        <c:axId val="430355168"/>
        <c:scaling>
          <c:orientation val="minMax"/>
          <c:max val="0.1500000000000000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a:pPr>
                <a:r>
                  <a:rPr lang="en-US"/>
                  <a:t>Sulfate</a:t>
                </a:r>
                <a:r>
                  <a:rPr lang="en-US" baseline="0"/>
                  <a:t> Contributions (</a:t>
                </a:r>
                <a:r>
                  <a:rPr lang="el-GR" sz="1000" b="1" i="0" u="none" strike="noStrike" baseline="0">
                    <a:effectLst/>
                  </a:rPr>
                  <a:t>μ</a:t>
                </a:r>
                <a:r>
                  <a:rPr lang="en-US" sz="1000" b="1" i="0" u="none" strike="noStrike" baseline="0">
                    <a:effectLst/>
                  </a:rPr>
                  <a:t>g/m</a:t>
                </a:r>
                <a:r>
                  <a:rPr lang="en-US" sz="1000" b="1" i="0" u="none" strike="noStrike" baseline="30000">
                    <a:effectLst/>
                  </a:rPr>
                  <a:t>3</a:t>
                </a:r>
                <a:r>
                  <a:rPr lang="en-US" baseline="0"/>
                  <a:t>)</a:t>
                </a:r>
                <a:endParaRPr lang="en-US"/>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354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draftQdC2018SCCStateSummary - 160330.xlsx]2018 State Charts!PivotTable3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2018</a:t>
            </a:r>
            <a:endParaRPr lang="en-US"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E4A67D3-5D85-49FA-BE6B-E80433303A6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121D51B-807B-46AF-A7D1-A983C747088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87D296-8774-4DC6-8A6F-18C3B91E4B6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E473AEE-7FE4-433E-86E9-0DF4A045B2F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11B78D-6A8F-40F3-99CA-8502900E06B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74E515-2448-49F2-9CDB-DD7BA063B8D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7B8A17D-E42B-442D-95DC-769979F78CE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44892CC-1742-4F49-9B42-D83F0F32019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0B14EF-E68B-4946-AEBB-77C50C2E2B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0ABA6A-E50C-48C4-AB3F-D4F5B7D4DF8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B2E7010-9505-4685-BB54-3E73C76F5BE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7E365FF-E113-4C76-B5C3-6FFF9D0B728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E9D91CF-F334-4FE6-8AC3-3D337476BB3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33FE52A-0E7E-438A-AB81-AD26D94EDEE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62D1A7-C6B5-4CAA-899C-C7FE2ACE26F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CF526B-948B-410F-97E6-07BF6E40BE4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32E7806-32EF-4FB6-BEC1-EC4166A191A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85F7B8C-3941-4BF6-9A7F-837B09662BD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782E9A9-A41C-429E-A525-28929C83C45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F5A121-A7E2-4296-A44A-6AA95204190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74123B-B789-46E9-B35A-F7265B34CB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49F57D-2F4B-42E3-A993-F8D486FC5E3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2B0BF4D-B5A9-4943-BFBE-FEC54201684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031AC58-F7AA-499F-8551-2B75159ECBE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6B78180-6BC7-4020-A5EF-0F551542D3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4263F8A-8608-489F-B3DC-BC47F760BE3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B1990BE-A2AA-463B-842F-FB0D17750EF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89031A0-694D-4D5C-9057-BA77C6767F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BC45DC6-224B-4F6A-9CE0-17CBDB238FD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D978A08-A144-4F16-8B4D-5104285AB41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0CE7AE-3CFA-4A3B-BCCE-62D6DDDB93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98DBBA-B45E-44BD-98F7-BDF89FF93E6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3"/>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6A45EE-CAE2-472A-8F04-AB16491C476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B89AA7F-6A45-49E0-B1BB-578B44DB31F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179DEEB-AD05-472D-945D-0A10492B7A1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E64C763-D0B7-4186-A8BD-F22D05555C2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07895D2-4984-492E-BB59-C3D78326DF8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8641A2-BE82-4DE4-9AAE-0A5CC3764D4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B6A66A-9A52-4436-A426-2884D76B1FD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F95067-B5CD-4839-90EA-8DCD25CAC67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C3F5A5-6B9E-41F7-991E-00AC8567B3F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4FFFF3-AA46-4909-AA7E-BF7304372E8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0CB701D-2E16-4E46-95EE-22FF591F941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B684630-FD9E-4FC5-8C56-9D9CD19BF01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BEFD0B-502A-4282-94F6-65D58C1BE91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3A66EBC-266B-40D0-87C5-A1E306E36D1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BE18B58-C3F4-44FB-9C61-7C60314B4B7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CC9668-470C-4E32-BF92-F96BC74F206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5A7F6D-4EF9-4302-9247-D519ADC9D3E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51CAE5-AB4A-468E-AB45-415C7967C6E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C3007A-6818-41E3-9080-6DA4F466F38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15E3F45-648F-405C-9664-9C169F47F3A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31F46C5-9433-49E8-83F9-74C9BB1F6E8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ECAF86-788E-4ECB-963E-6D7279FC51E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4EBD202-0BFE-48A9-A5E4-8B19D42E0AC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350A29A-88DC-4764-9190-40FF374EF86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20C2BFB-02D5-4CFC-AABA-FF1DC16CE23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83F1C76-DA0D-43FE-AEE3-4F93A0A81B4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EC5FDD5-1C03-4C86-8177-DC33078F25A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4A30441-6456-4D5B-8F06-1EC27BA4CC7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B73A1A-A2CF-4A50-B5FF-B910DFE21D4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C2A67E-5072-4106-BD95-8839E818FD5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879E790-D28A-4A81-9A35-10FFF3EFDEA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C32C8F-472B-4FFF-BF9A-61C5B2CCFB3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6"/>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501687-FF3D-414B-A96B-F749E07167C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F62C0B-3FB9-4C67-83BC-28A2B5023B7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774B983-06A4-4F5C-A044-B0B6955C2E7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3B1B1A3-450E-4047-9E16-463CA8A86F9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37FDC4C-EF03-49F5-8927-AFD442AD2BD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F534B81-6C36-4EB8-B833-048500FED0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050457-52C3-4681-9D00-FB11A45FE07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B9591AA-95EC-4DD9-8446-17FAD221B94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EF0B9D1-197B-4D4B-B18A-59EA5E4957A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F2A52F1-ED29-47F7-BC89-CD3F678B7D2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12009E3-050F-46B3-ACB5-F3D7BC18A7D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A54E857-0732-467C-AC88-C927F1E7E9C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75857FB-7F50-4B36-B64F-959B4E6FF47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67ACDA9-B62A-4D75-9351-2C5AD3AAD7C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0125A2F-AA27-4631-9EE6-494A8F4398A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CD852B-C0A1-477C-9959-36A29C31A7E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4BBF1A-7E96-4577-BBC2-66A99E43B6D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8212F6-BABB-4F16-B421-C438EFA9E71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E633465-1757-49A4-9363-315F1820094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BEF17CC-2430-4564-8D5A-5AD75D041A6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D1184A-9EB4-4594-8292-36BA26E8D07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8494DE5-58E9-4FDA-9520-74DD45704C9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590F8C-B2BA-49CD-9D0F-7A59DB1B13C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8AB36D8-7033-4838-B34C-27670EFD6B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D0533C-8278-49F3-8B1A-63B75F58075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CAB7702-CAB6-42B5-A8EE-C7BCAA7771D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35FBD01-AA91-469C-B660-35BC6AD98E0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CA908DA-7E0F-4481-A192-5F88A9411F4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EB2B27-A20E-4E99-B08E-EE34D5A62A6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94BE7BC-E907-40BC-8EB3-DB24C452B9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F50CCB7-5B63-4DB0-8041-7C47AB84B16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8906FD-18B9-4C7B-9C9B-CDAFA5616BA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'2018 State Charts'!$F$4</c:f>
              <c:strCache>
                <c:ptCount val="1"/>
                <c:pt idx="0">
                  <c:v>Total</c:v>
                </c:pt>
              </c:strCache>
            </c:strRef>
          </c:tx>
          <c:spPr>
            <a:solidFill>
              <a:schemeClr val="accent2"/>
            </a:solidFill>
            <a:ln>
              <a:noFill/>
            </a:ln>
            <a:effectLst/>
          </c:spPr>
          <c:invertIfNegative val="0"/>
          <c:dLbls>
            <c:dLbl>
              <c:idx val="0"/>
              <c:layout/>
              <c:tx>
                <c:rich>
                  <a:bodyPr/>
                  <a:lstStyle/>
                  <a:p>
                    <a:fld id="{F341C5B9-E877-4996-A930-2A2B4520DEA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a:lstStyle/>
                  <a:p>
                    <a:fld id="{3F786DAD-EE46-46A4-8476-3665F2F4173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CF4C0D02-2ACF-42AE-8611-13FACD806F3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793D4466-FC7A-4731-B84D-934BAEDB6D2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5DA54CD7-F8AD-483E-B534-3ABF23100DF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FD752854-DEE6-4E21-99E9-37829A68FF7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26A8B8A5-686A-4DC2-84AC-51B53518C46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1FDFB2A3-381D-479D-AD5C-762B198C0A0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a:lstStyle/>
                  <a:p>
                    <a:fld id="{54AD8A06-EB85-4120-9298-F0E06EB7CAB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a:lstStyle/>
                  <a:p>
                    <a:fld id="{ADBF38D8-20AF-4CF5-A60F-23F9BCB822D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a:lstStyle/>
                  <a:p>
                    <a:fld id="{C2D90830-3E49-49E0-8932-BA26D892BC9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a:lstStyle/>
                  <a:p>
                    <a:fld id="{71609144-0221-4A84-B135-F584A9323D9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a:lstStyle/>
                  <a:p>
                    <a:fld id="{8447920D-57E3-4B89-A1DF-B967FD31BB7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a:lstStyle/>
                  <a:p>
                    <a:fld id="{9C7F9950-A7A6-48EF-A62A-2A3E722B9B9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a:lstStyle/>
                  <a:p>
                    <a:fld id="{CB3BACB8-8E81-4733-8250-3E91886A4A5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a:lstStyle/>
                  <a:p>
                    <a:fld id="{463A720A-B703-4045-BC0C-DE71A6DFC4C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a:lstStyle/>
                  <a:p>
                    <a:fld id="{5F96385B-BF30-44F5-9FB4-E4369432209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a:lstStyle/>
                  <a:p>
                    <a:fld id="{471CB3C9-F60D-434C-9B76-64A8FE6EF29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a:lstStyle/>
                  <a:p>
                    <a:fld id="{E62AD0AA-1D1F-414B-9AB2-E2F5E3EC05C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a:lstStyle/>
                  <a:p>
                    <a:fld id="{DC66A472-0A99-4384-B7A9-B3FAB129D66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a:lstStyle/>
                  <a:p>
                    <a:fld id="{B5B19A0E-6CA1-4CD8-8769-17ED68A104D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a:lstStyle/>
                  <a:p>
                    <a:fld id="{1234C9CA-F752-4538-ADA9-ACD760566F5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a:lstStyle/>
                  <a:p>
                    <a:fld id="{F9C8B39A-79B1-4C83-A0C1-8A5B8F7608F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a:lstStyle/>
                  <a:p>
                    <a:fld id="{33F27FEE-8BB5-4BF5-A081-BDD772B374C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a:lstStyle/>
                  <a:p>
                    <a:fld id="{1D8750B8-6C65-4F3B-A6A8-4D1115CD479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a:lstStyle/>
                  <a:p>
                    <a:fld id="{143E6BE0-189F-41D8-A236-416F2E0CA31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a:lstStyle/>
                  <a:p>
                    <a:fld id="{C22C83A0-4EC5-47EC-9183-AD027A2DFF3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a:lstStyle/>
                  <a:p>
                    <a:fld id="{A3D3426D-C3CF-4182-B8FF-C3F9BC935CD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a:lstStyle/>
                  <a:p>
                    <a:fld id="{BD4A3846-FE12-42BA-B9D5-FAAEE0FDD9B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a:lstStyle/>
                  <a:p>
                    <a:fld id="{320FE2E3-BF26-4B3A-BFFA-9C17C259E90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a:lstStyle/>
                  <a:p>
                    <a:fld id="{C7E35381-AE58-46F0-8F3C-4B8378F217D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1"/>
              <c:layout/>
              <c:tx>
                <c:rich>
                  <a:bodyPr/>
                  <a:lstStyle/>
                  <a:p>
                    <a:fld id="{9CD88F2F-28A5-4E22-968F-E27E682E64E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'2018 State Charts'!$H$5:$H$36</c:f>
              <c:strCache>
                <c:ptCount val="32"/>
                <c:pt idx="0">
                  <c:v>VT</c:v>
                </c:pt>
                <c:pt idx="1">
                  <c:v>RI</c:v>
                </c:pt>
                <c:pt idx="2">
                  <c:v>ME</c:v>
                </c:pt>
                <c:pt idx="3">
                  <c:v>CT</c:v>
                </c:pt>
                <c:pt idx="4">
                  <c:v>DC</c:v>
                </c:pt>
                <c:pt idx="5">
                  <c:v>NH</c:v>
                </c:pt>
                <c:pt idx="6">
                  <c:v>MA</c:v>
                </c:pt>
                <c:pt idx="7">
                  <c:v>MN</c:v>
                </c:pt>
                <c:pt idx="8">
                  <c:v>WI</c:v>
                </c:pt>
                <c:pt idx="9">
                  <c:v>IA</c:v>
                </c:pt>
                <c:pt idx="10">
                  <c:v>DE</c:v>
                </c:pt>
                <c:pt idx="11">
                  <c:v>GA</c:v>
                </c:pt>
                <c:pt idx="12">
                  <c:v>MS</c:v>
                </c:pt>
                <c:pt idx="13">
                  <c:v>SC</c:v>
                </c:pt>
                <c:pt idx="14">
                  <c:v>NJ</c:v>
                </c:pt>
                <c:pt idx="15">
                  <c:v>NY</c:v>
                </c:pt>
                <c:pt idx="16">
                  <c:v>TN</c:v>
                </c:pt>
                <c:pt idx="17">
                  <c:v>AL</c:v>
                </c:pt>
                <c:pt idx="18">
                  <c:v>VA</c:v>
                </c:pt>
                <c:pt idx="19">
                  <c:v>AR</c:v>
                </c:pt>
                <c:pt idx="20">
                  <c:v>MI</c:v>
                </c:pt>
                <c:pt idx="21">
                  <c:v>LA</c:v>
                </c:pt>
                <c:pt idx="22">
                  <c:v>NC</c:v>
                </c:pt>
                <c:pt idx="23">
                  <c:v>IL</c:v>
                </c:pt>
                <c:pt idx="24">
                  <c:v>WV</c:v>
                </c:pt>
                <c:pt idx="25">
                  <c:v>MO</c:v>
                </c:pt>
                <c:pt idx="26">
                  <c:v>IN</c:v>
                </c:pt>
                <c:pt idx="27">
                  <c:v>KY</c:v>
                </c:pt>
                <c:pt idx="28">
                  <c:v>TX</c:v>
                </c:pt>
                <c:pt idx="29">
                  <c:v>MD</c:v>
                </c:pt>
                <c:pt idx="30">
                  <c:v>OH</c:v>
                </c:pt>
                <c:pt idx="31">
                  <c:v>PA</c:v>
                </c:pt>
              </c:strCache>
            </c:strRef>
          </c:cat>
          <c:val>
            <c:numRef>
              <c:f>'2018 State Charts'!$H$5:$H$36</c:f>
              <c:numCache>
                <c:formatCode>General</c:formatCode>
                <c:ptCount val="32"/>
                <c:pt idx="0">
                  <c:v>7.6365574991949376E-5</c:v>
                </c:pt>
                <c:pt idx="1">
                  <c:v>2.3718957805919671E-4</c:v>
                </c:pt>
                <c:pt idx="2">
                  <c:v>2.9183713901454199E-4</c:v>
                </c:pt>
                <c:pt idx="3">
                  <c:v>3.4876168926522129E-4</c:v>
                </c:pt>
                <c:pt idx="4">
                  <c:v>5.796802668327336E-4</c:v>
                </c:pt>
                <c:pt idx="5">
                  <c:v>8.7595866133537929E-4</c:v>
                </c:pt>
                <c:pt idx="6">
                  <c:v>1.0918902978902083E-3</c:v>
                </c:pt>
                <c:pt idx="7">
                  <c:v>2.0351816084722852E-3</c:v>
                </c:pt>
                <c:pt idx="8">
                  <c:v>3.2677638433850961E-3</c:v>
                </c:pt>
                <c:pt idx="9">
                  <c:v>3.2896581062355204E-3</c:v>
                </c:pt>
                <c:pt idx="10">
                  <c:v>5.2490768993488004E-3</c:v>
                </c:pt>
                <c:pt idx="11">
                  <c:v>6.1378922715374391E-3</c:v>
                </c:pt>
                <c:pt idx="12">
                  <c:v>6.8092513965634094E-3</c:v>
                </c:pt>
                <c:pt idx="13">
                  <c:v>7.2009895284259537E-3</c:v>
                </c:pt>
                <c:pt idx="14">
                  <c:v>8.0390314300424325E-3</c:v>
                </c:pt>
                <c:pt idx="15">
                  <c:v>8.7011968111161096E-3</c:v>
                </c:pt>
                <c:pt idx="16">
                  <c:v>9.8296263034124889E-3</c:v>
                </c:pt>
                <c:pt idx="17">
                  <c:v>1.0039354445238166E-2</c:v>
                </c:pt>
                <c:pt idx="18">
                  <c:v>1.03092496313178E-2</c:v>
                </c:pt>
                <c:pt idx="19">
                  <c:v>1.0778858863750669E-2</c:v>
                </c:pt>
                <c:pt idx="20">
                  <c:v>1.1663905481757733E-2</c:v>
                </c:pt>
                <c:pt idx="21">
                  <c:v>1.2148467942123429E-2</c:v>
                </c:pt>
                <c:pt idx="22">
                  <c:v>1.4197747116817164E-2</c:v>
                </c:pt>
                <c:pt idx="23">
                  <c:v>1.6802711213532683E-2</c:v>
                </c:pt>
                <c:pt idx="24">
                  <c:v>1.9916289471540127E-2</c:v>
                </c:pt>
                <c:pt idx="25">
                  <c:v>2.3544961077561977E-2</c:v>
                </c:pt>
                <c:pt idx="26">
                  <c:v>2.7445269003699251E-2</c:v>
                </c:pt>
                <c:pt idx="27">
                  <c:v>2.7487020590692145E-2</c:v>
                </c:pt>
                <c:pt idx="28">
                  <c:v>3.4668005661752925E-2</c:v>
                </c:pt>
                <c:pt idx="29">
                  <c:v>3.9006128676826214E-2</c:v>
                </c:pt>
                <c:pt idx="30">
                  <c:v>4.4829096866423251E-2</c:v>
                </c:pt>
                <c:pt idx="31">
                  <c:v>7.1783934973473518E-2</c:v>
                </c:pt>
              </c:numCache>
            </c:numRef>
          </c:val>
          <c:extLst>
            <c:ext xmlns:c15="http://schemas.microsoft.com/office/drawing/2012/chart" uri="{02D57815-91ED-43cb-92C2-25804820EDAC}">
              <c15:datalabelsRange>
                <c15:f>'2018 State Charts'!$H$5:$H$36</c15:f>
                <c15:dlblRangeCache>
                  <c:ptCount val="32"/>
                  <c:pt idx="0">
                    <c:v>0.02%</c:v>
                  </c:pt>
                  <c:pt idx="1">
                    <c:v>0.05%</c:v>
                  </c:pt>
                  <c:pt idx="2">
                    <c:v>0.07%</c:v>
                  </c:pt>
                  <c:pt idx="3">
                    <c:v>0.08%</c:v>
                  </c:pt>
                  <c:pt idx="4">
                    <c:v>0.13%</c:v>
                  </c:pt>
                  <c:pt idx="5">
                    <c:v>0.20%</c:v>
                  </c:pt>
                  <c:pt idx="6">
                    <c:v>0.25%</c:v>
                  </c:pt>
                  <c:pt idx="7">
                    <c:v>0.46%</c:v>
                  </c:pt>
                  <c:pt idx="8">
                    <c:v>0.74%</c:v>
                  </c:pt>
                  <c:pt idx="9">
                    <c:v>0.75%</c:v>
                  </c:pt>
                  <c:pt idx="10">
                    <c:v>1.20%</c:v>
                  </c:pt>
                  <c:pt idx="11">
                    <c:v>1.40%</c:v>
                  </c:pt>
                  <c:pt idx="12">
                    <c:v>1.55%</c:v>
                  </c:pt>
                  <c:pt idx="13">
                    <c:v>1.64%</c:v>
                  </c:pt>
                  <c:pt idx="14">
                    <c:v>1.83%</c:v>
                  </c:pt>
                  <c:pt idx="15">
                    <c:v>1.98%</c:v>
                  </c:pt>
                  <c:pt idx="16">
                    <c:v>2.24%</c:v>
                  </c:pt>
                  <c:pt idx="17">
                    <c:v>2.29%</c:v>
                  </c:pt>
                  <c:pt idx="18">
                    <c:v>2.35%</c:v>
                  </c:pt>
                  <c:pt idx="19">
                    <c:v>2.46%</c:v>
                  </c:pt>
                  <c:pt idx="20">
                    <c:v>2.66%</c:v>
                  </c:pt>
                  <c:pt idx="21">
                    <c:v>2.77%</c:v>
                  </c:pt>
                  <c:pt idx="22">
                    <c:v>3.24%</c:v>
                  </c:pt>
                  <c:pt idx="23">
                    <c:v>3.83%</c:v>
                  </c:pt>
                  <c:pt idx="24">
                    <c:v>4.54%</c:v>
                  </c:pt>
                  <c:pt idx="25">
                    <c:v>5.37%</c:v>
                  </c:pt>
                  <c:pt idx="26">
                    <c:v>6.26%</c:v>
                  </c:pt>
                  <c:pt idx="27">
                    <c:v>6.27%</c:v>
                  </c:pt>
                  <c:pt idx="28">
                    <c:v>7.90%</c:v>
                  </c:pt>
                  <c:pt idx="29">
                    <c:v>8.89%</c:v>
                  </c:pt>
                  <c:pt idx="30">
                    <c:v>10.22%</c:v>
                  </c:pt>
                  <c:pt idx="31">
                    <c:v>16.36%</c:v>
                  </c:pt>
                </c15:dlblRangeCache>
              </c15:datalabelsRange>
            </c:ext>
          </c:extLst>
        </c:ser>
        <c:dLbls>
          <c:showLegendKey val="0"/>
          <c:showVal val="0"/>
          <c:showCatName val="0"/>
          <c:showSerName val="0"/>
          <c:showPercent val="0"/>
          <c:showBubbleSize val="0"/>
        </c:dLbls>
        <c:gapWidth val="182"/>
        <c:axId val="430356344"/>
        <c:axId val="430356736"/>
      </c:barChart>
      <c:catAx>
        <c:axId val="430356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356736"/>
        <c:crosses val="autoZero"/>
        <c:auto val="1"/>
        <c:lblAlgn val="ctr"/>
        <c:lblOffset val="100"/>
        <c:tickLblSkip val="1"/>
        <c:noMultiLvlLbl val="0"/>
      </c:catAx>
      <c:valAx>
        <c:axId val="430356736"/>
        <c:scaling>
          <c:orientation val="minMax"/>
          <c:max val="0.1500000000000000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1" i="0" baseline="0">
                    <a:effectLst/>
                  </a:rPr>
                  <a:t>Sulfate Contributions (</a:t>
                </a:r>
                <a:r>
                  <a:rPr lang="el-GR" sz="1000" b="1" i="0" u="none" strike="noStrike" baseline="0">
                    <a:effectLst/>
                  </a:rPr>
                  <a:t>μ</a:t>
                </a:r>
                <a:r>
                  <a:rPr lang="en-US" sz="1000" b="1" i="0" u="none" strike="noStrike" baseline="0">
                    <a:effectLst/>
                  </a:rPr>
                  <a:t>g/m</a:t>
                </a:r>
                <a:r>
                  <a:rPr lang="en-US" sz="1000" b="1" i="0" u="none" strike="noStrike" baseline="30000">
                    <a:effectLst/>
                  </a:rPr>
                  <a:t>3</a:t>
                </a:r>
                <a:r>
                  <a:rPr lang="en-US" sz="1000" b="1" i="0" baseline="0">
                    <a:effectLst/>
                  </a:rPr>
                  <a:t>)</a:t>
                </a:r>
                <a:endParaRPr lang="en-US" sz="1000">
                  <a:effectLst/>
                </a:endParaRPr>
              </a:p>
            </c:rich>
          </c:tx>
          <c:layout>
            <c:manualLayout>
              <c:xMode val="edge"/>
              <c:yMode val="edge"/>
              <c:x val="0.20864923134608174"/>
              <c:y val="0.9599291324985689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356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[draftQdC2018SCCStateSummary.xlsx]2011 State Charts!PivotTable3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2011</a:t>
            </a:r>
          </a:p>
        </c:rich>
      </c:tx>
      <c:layout/>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94CC48-81D9-4328-8D66-679574C488C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80E65D-D634-4759-BD6B-A1B5AA4312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44EF6D-BE15-4334-B3CA-DBF849F48EE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CD1BAA1-8DA5-4A84-B95F-3B2C4EA02EF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EB7240-84FC-4012-AFD1-71DD6DF4F06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ACF69E-C57F-45D9-AE86-A92AB7E57B8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24A4E9-0865-403C-991D-8EA30C527F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31D4221-5CC5-4BE6-B04E-5C3E624018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A5A587-D60A-4387-AC68-F0B629456B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B2584-C921-434C-A185-9A6EB25A8ED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A3140DC-2ED7-405B-8DEE-E80E28C1AA5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728D6CD-D250-4630-9E78-EB244EF831D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9F5E57E-F8F5-47BF-8600-AA9F8C77B26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8342D06-6CAF-4920-AB7F-31E8BD3F2BD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BC2B37-F8AD-4935-8373-B1B40F8BC99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E75BEB-49BC-48DD-8B62-11CE841116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CC3BCCE-140B-41A4-9686-2DE98EA79F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DE713A-7D14-4F36-A9AA-1A648594CEB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A0CAFC-1043-47D3-8679-3E9F9E930EB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11F3AE0-C599-4EC0-98FB-C061A29A6B7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CEC439-2626-4F9C-A65E-A3082DC8A0E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374F67-4EDE-4F60-98DF-AA6466877B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823837-3DD2-4CB5-A8E2-9C43310CB94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61CABA-DF0A-46CB-B3C4-F79533183D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2B9097-930D-4611-ABC1-3CD6484CF98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138D54-6919-4F9E-A483-1C207842CAE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9A0D111-E370-4943-81D9-9F166BD9603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B692B9-2A6C-4BC3-993C-9582AFFB762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01A262-EDA6-4822-B3A8-81C94FE3A57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7780D5-9B49-42EC-8B68-E6219857A1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FF492EF-F349-41E4-8CD4-238C0450D1E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7381F7-0F3C-444C-846C-2FAD94A36B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EF4107-02A2-457E-8934-7A42D06A388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7C9B561-5322-481D-A713-5F837E8A8A4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65BD4B8-D00E-4E8B-A720-40970CC7246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04721CE-68F0-48A5-9AC4-3DA31C7EFC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8C79C7-AEB1-4375-ADA3-D4ADB6F2D0B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A9F3F43-059F-4D67-9FCA-7E1B966C509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928BB3-1ACE-4D45-8B5D-4348A0F47C0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0AF5289-1890-4B39-BE2D-B86A8E82E37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C1FED4-A98A-47D5-A8CB-28A78C3A57B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E4BCB2-53FF-4734-B3D7-635E5E85BB2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54205E-1D68-4243-B751-C15FFDC3730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1F35E57-E2EA-4B76-9ADD-0A2C18DA4FB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4F60D40-890D-450F-9C43-6C3E0D2E3EC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9E7B137-639E-4FF6-B3D1-11AB7448ADE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3D23408-AB54-4C1F-AD04-35A998E7A21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FCCB186-D5FF-4C22-9BCE-500FF882ED2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672CC0E-8E62-4A7B-87BF-F108ED29838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AA76D8E-7AE7-469A-AEEE-57409C0A99A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0F5F330-99B2-4A75-A8FB-78EB5B13E6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786063-FFBE-49EE-BD08-01F908A14C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E7E70A-1043-43A6-A855-9426A493A5E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3D58BE2-7F2F-4080-B03B-FAFDF2E2CB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8A35FAC-366D-4CF7-B278-4785B55ED40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31A9B56-7829-466D-94C5-EEB30C7CD05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74C901-CAD2-4980-ACD9-BA0A58E2F9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023013-8353-4893-90E6-E973200DA75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129260E-66ED-4621-AB53-8655E3C5C5F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003B8E2-10BD-4BB5-94DB-DD3AE054071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90D91F-9EE3-47D0-A2F2-412B6E83C7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637292-D334-43D7-88E7-17DDB8CB85A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D80F196-3E88-482C-9AB8-5010DD1F9E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FA3338-569E-4FA6-B44B-BE8D7169DC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6D4EE7A-5224-43F4-A192-0C03F48295D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BFDAE8-25C2-4309-971B-04F4CF0CA2B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1904B8-711A-41F1-A9DD-6B8D862C81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B1303C-A4C8-4BAC-B888-7AA7F8ADCB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5470FA-393E-4FAA-AB8D-CFC9E4783EE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6DF5652-8A7E-470A-9630-8CA52B0F7C1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EF7C17-DE97-440C-A477-FB010DE4D8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4B6E0E-BA1F-43F7-899F-0E81D9F7A59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3F7DCA5-136D-4A51-B8AF-D73314408BB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A0458B-E099-4512-ACC7-CCB6C864953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38D29C-552C-4202-9E1C-CA24B2C4C6B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ACBFFDB-97CC-4335-936F-6CE38E1863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5BF9970-1309-43D3-9455-956CE9941CF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6EE287-E75D-4587-867F-DAA07F90C65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158691-8E55-4998-A93D-C428579EF0B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6F5550-C4D4-4551-A8AA-F2E3F90DC63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06F24C2-3F69-40C0-8DCE-7AED4E27B6B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B8CE81-D495-4C1A-BE9E-08765A5DFD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20C153-D7B6-4F21-BAAA-7575810C7FC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B5329B7-9C8B-4845-9D2F-22A61F6BD5D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3DD6BA-8703-4948-A137-50BE42B3B68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A523C5-B8B2-4AF6-B62C-62B56EAC96B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A86CC58-0247-4355-9160-6D1896894A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A200803-05CA-4BF0-BD68-922837F0705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31F4B3-D235-4017-8583-FDBB9940ED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F8AD5A-E6A2-4C25-BAA7-526B3DBA6F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B5C7261-3EF8-46C2-8F77-D690F72DDE0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28DAA2-0E92-46A4-8D8E-4693766EF44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1298547-D5D1-4B26-AAA9-F6F3A3182B2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FE09CD-931E-472F-A1C4-6D63210E140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87B3E6-87A5-4005-AFD9-0339A12F3D1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9B89BC-7A77-45AE-9B79-4514FDF1D61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D83C02-ED2E-4FC5-ACE8-A47A7E9842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B6DE889-F08A-48A1-A522-D95B5D9EA27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F09E931-B5A7-4CBF-961D-F0EAB141788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F09254A-5F1A-4A8A-96D9-58C9519F5D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FD13E9-F6E4-4467-9857-97DC579865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2306C90-DFFB-464D-A1B9-D8978135D5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6CA12A-5550-4521-9894-11DB3507807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7CEF84-2B6E-4A6C-8B32-9152767A67C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CB9DEAA-81EA-4E4B-AEA5-013E0CA5B00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3F07B5-0B48-4188-A36F-EEF6C6499EC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F00DECE-FE79-44C6-B33B-8F2B45B7EC4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7F75FC-7659-46AD-8740-3CB0D2C4907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CFEEBA9-D677-4DDB-B2E1-31B4AA576EF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E8E31D2-67FF-47D0-9DA7-5ADD4D4C5B7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EF646A-088B-45FB-BF8B-DE421B5A48B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3E136B-A4E7-49C5-8533-CC6A891CEE1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5FC45A-3AFE-4AFD-886E-BD64532D36D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DF473DA-66CD-4C3D-9CC7-7384AC42A3B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19B3D1-DE28-46EB-9F3C-8A8ACF7A94D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347BB2-1DFE-4EE3-B0D1-5CDF69E6ED1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FBF8853-3A0E-412B-B158-41B35F2AEBD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48889B8-30D7-49E2-89C7-C7ACB389CD8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30647A-9F46-4818-8099-83647327C93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F39608-6522-4F60-8A06-96FCAEC92A0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76F937-59D4-474B-9C1E-ABF496CF5C8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C007CF-584F-401E-9046-9947E39A332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D588009-8641-4505-8770-20D30E03815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080981-DB71-4D43-940D-2C7EC63FFF2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30E443-6C99-4286-B8BB-07C7D69B92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DE722F-35DE-480F-B872-CDBBD506BC2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B60EEB5-CD61-490E-B7C2-8F49FE550A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6FD23D1-147F-457E-8F54-D74963DC67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'2011 State Charts'!$F$4</c:f>
              <c:strCache>
                <c:ptCount val="1"/>
                <c:pt idx="0">
                  <c:v>Total</c:v>
                </c:pt>
              </c:strCache>
            </c:strRef>
          </c:tx>
          <c:spPr>
            <a:solidFill>
              <a:schemeClr val="accent1"/>
            </a:solidFill>
            <a:ln>
              <a:noFill/>
            </a:ln>
            <a:effectLst/>
          </c:spPr>
          <c:invertIfNegative val="0"/>
          <c:dLbls>
            <c:dLbl>
              <c:idx val="0"/>
              <c:layout/>
              <c:tx>
                <c:rich>
                  <a:bodyPr/>
                  <a:lstStyle/>
                  <a:p>
                    <a:fld id="{208C8088-7DE9-4829-ADAA-ACD945491A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a:lstStyle/>
                  <a:p>
                    <a:fld id="{BE3E3CBD-0813-421C-9B38-64A5CDF381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05E4CDD5-1089-4E9D-AF70-F5D6C4BF7FC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E03B5FA5-0456-435D-815C-46315FC901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4363A902-D059-4E51-A048-335CE6280C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06E495C5-DBA1-41A2-B550-C92BDE1511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CED5ED2B-95AA-4D44-BF33-5CD4104406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78879617-4A0F-45C4-B6CB-26AB4D948AF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a:lstStyle/>
                  <a:p>
                    <a:fld id="{20611111-3AB3-4AB9-8BF8-FF814CF2830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a:lstStyle/>
                  <a:p>
                    <a:fld id="{9F24846C-0E67-484B-B35C-0EB861A1AF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a:lstStyle/>
                  <a:p>
                    <a:fld id="{44DFD1F9-EE33-416D-881B-51F565C5450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a:lstStyle/>
                  <a:p>
                    <a:fld id="{0F4823FC-BA46-4A25-829F-EB9CCED55F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a:lstStyle/>
                  <a:p>
                    <a:fld id="{54D744D2-1C96-4609-A982-0E3197B1A8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a:lstStyle/>
                  <a:p>
                    <a:fld id="{C93722E8-70B8-4C4C-95FE-78F6E9F9F5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a:lstStyle/>
                  <a:p>
                    <a:fld id="{C32F2123-CAA3-4140-A55E-3E28C533CF2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a:lstStyle/>
                  <a:p>
                    <a:fld id="{6FB920E4-8C25-4E47-9361-565037F41D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a:lstStyle/>
                  <a:p>
                    <a:fld id="{67AB3F1E-3B9B-49DC-9C5D-A459B5E9924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a:lstStyle/>
                  <a:p>
                    <a:fld id="{76676D67-60EB-468C-9F11-4D42FE6BAD6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a:lstStyle/>
                  <a:p>
                    <a:fld id="{5F9F59CB-E2CD-49A6-B796-6BA4A42B8B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a:lstStyle/>
                  <a:p>
                    <a:fld id="{7917949C-272D-46C1-9A36-8D3713FFDD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a:lstStyle/>
                  <a:p>
                    <a:fld id="{07259AE7-9CE5-49A8-9C72-F0C0884A34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a:lstStyle/>
                  <a:p>
                    <a:fld id="{252914F4-98BD-438E-9FCD-9FD7F62ACB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a:lstStyle/>
                  <a:p>
                    <a:fld id="{21459A8C-635E-4455-BC14-018DEB1C5B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a:lstStyle/>
                  <a:p>
                    <a:fld id="{DA23CA2B-3718-4DB6-A68B-2BBF629E5E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a:lstStyle/>
                  <a:p>
                    <a:fld id="{E2B88768-BA1C-46DE-A8AC-6AC19249D1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a:lstStyle/>
                  <a:p>
                    <a:fld id="{CC1F921B-1576-4F01-99FE-B0A66CBFA51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a:lstStyle/>
                  <a:p>
                    <a:fld id="{686E4672-2D43-400C-959C-F70823D471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a:lstStyle/>
                  <a:p>
                    <a:fld id="{FA00809D-C6F6-423C-BB06-B218CE02FF9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a:lstStyle/>
                  <a:p>
                    <a:fld id="{D01CF552-EC55-4A2D-AA3D-50678A4AAA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a:lstStyle/>
                  <a:p>
                    <a:fld id="{145B6DAF-2867-429C-A5EA-0C96A553E8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a:lstStyle/>
                  <a:p>
                    <a:fld id="{9118A4B3-63C8-49FD-90FB-86340CDE57D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1"/>
              <c:layout/>
              <c:tx>
                <c:rich>
                  <a:bodyPr/>
                  <a:lstStyle/>
                  <a:p>
                    <a:fld id="{E84762C5-5AFC-43E4-8475-1A47926848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'2011 State Charts'!$H$5:$H$36</c:f>
              <c:strCache>
                <c:ptCount val="32"/>
                <c:pt idx="0">
                  <c:v>VT</c:v>
                </c:pt>
                <c:pt idx="1">
                  <c:v>RI</c:v>
                </c:pt>
                <c:pt idx="2">
                  <c:v>DC</c:v>
                </c:pt>
                <c:pt idx="3">
                  <c:v>ME</c:v>
                </c:pt>
                <c:pt idx="4">
                  <c:v>MN</c:v>
                </c:pt>
                <c:pt idx="5">
                  <c:v>CT</c:v>
                </c:pt>
                <c:pt idx="6">
                  <c:v>NH</c:v>
                </c:pt>
                <c:pt idx="7">
                  <c:v>MS</c:v>
                </c:pt>
                <c:pt idx="8">
                  <c:v>AR</c:v>
                </c:pt>
                <c:pt idx="9">
                  <c:v>WI</c:v>
                </c:pt>
                <c:pt idx="10">
                  <c:v>IA</c:v>
                </c:pt>
                <c:pt idx="11">
                  <c:v>MA</c:v>
                </c:pt>
                <c:pt idx="12">
                  <c:v>NJ</c:v>
                </c:pt>
                <c:pt idx="13">
                  <c:v>SC</c:v>
                </c:pt>
                <c:pt idx="14">
                  <c:v>LA</c:v>
                </c:pt>
                <c:pt idx="15">
                  <c:v>MO</c:v>
                </c:pt>
                <c:pt idx="16">
                  <c:v>TN</c:v>
                </c:pt>
                <c:pt idx="17">
                  <c:v>DE</c:v>
                </c:pt>
                <c:pt idx="18">
                  <c:v>MI</c:v>
                </c:pt>
                <c:pt idx="19">
                  <c:v>NC</c:v>
                </c:pt>
                <c:pt idx="20">
                  <c:v>IL</c:v>
                </c:pt>
                <c:pt idx="21">
                  <c:v>AL</c:v>
                </c:pt>
                <c:pt idx="22">
                  <c:v>GA</c:v>
                </c:pt>
                <c:pt idx="23">
                  <c:v>TX</c:v>
                </c:pt>
                <c:pt idx="24">
                  <c:v>WV</c:v>
                </c:pt>
                <c:pt idx="25">
                  <c:v>NY</c:v>
                </c:pt>
                <c:pt idx="26">
                  <c:v>VA</c:v>
                </c:pt>
                <c:pt idx="27">
                  <c:v>KY</c:v>
                </c:pt>
                <c:pt idx="28">
                  <c:v>IN</c:v>
                </c:pt>
                <c:pt idx="29">
                  <c:v>MD</c:v>
                </c:pt>
                <c:pt idx="30">
                  <c:v>OH</c:v>
                </c:pt>
                <c:pt idx="31">
                  <c:v>PA</c:v>
                </c:pt>
              </c:strCache>
            </c:strRef>
          </c:cat>
          <c:val>
            <c:numRef>
              <c:f>'2011 State Charts'!$H$5:$H$36</c:f>
              <c:numCache>
                <c:formatCode>General</c:formatCode>
                <c:ptCount val="32"/>
                <c:pt idx="0">
                  <c:v>5.7200000000000003E-4</c:v>
                </c:pt>
                <c:pt idx="1">
                  <c:v>1.1559999999999999E-3</c:v>
                </c:pt>
                <c:pt idx="2">
                  <c:v>1.2869999999999999E-3</c:v>
                </c:pt>
                <c:pt idx="3">
                  <c:v>2.068E-3</c:v>
                </c:pt>
                <c:pt idx="4">
                  <c:v>3.6979999999999999E-3</c:v>
                </c:pt>
                <c:pt idx="5">
                  <c:v>5.1630000000000001E-3</c:v>
                </c:pt>
                <c:pt idx="6">
                  <c:v>5.7499999999999999E-3</c:v>
                </c:pt>
                <c:pt idx="7">
                  <c:v>6.6220000000000003E-3</c:v>
                </c:pt>
                <c:pt idx="8">
                  <c:v>8.9759999999999996E-3</c:v>
                </c:pt>
                <c:pt idx="9">
                  <c:v>1.0026E-2</c:v>
                </c:pt>
                <c:pt idx="10">
                  <c:v>1.0659E-2</c:v>
                </c:pt>
                <c:pt idx="11">
                  <c:v>1.1183E-2</c:v>
                </c:pt>
                <c:pt idx="12">
                  <c:v>1.4794E-2</c:v>
                </c:pt>
                <c:pt idx="13">
                  <c:v>1.9819E-2</c:v>
                </c:pt>
                <c:pt idx="14">
                  <c:v>2.0910999999999999E-2</c:v>
                </c:pt>
                <c:pt idx="15">
                  <c:v>2.2057E-2</c:v>
                </c:pt>
                <c:pt idx="16">
                  <c:v>2.3040000000000001E-2</c:v>
                </c:pt>
                <c:pt idx="17">
                  <c:v>2.5876E-2</c:v>
                </c:pt>
                <c:pt idx="18">
                  <c:v>2.6884999999999999E-2</c:v>
                </c:pt>
                <c:pt idx="19">
                  <c:v>3.0265E-2</c:v>
                </c:pt>
                <c:pt idx="20">
                  <c:v>3.1115E-2</c:v>
                </c:pt>
                <c:pt idx="21">
                  <c:v>3.4159000000000002E-2</c:v>
                </c:pt>
                <c:pt idx="22">
                  <c:v>3.5036999999999999E-2</c:v>
                </c:pt>
                <c:pt idx="23">
                  <c:v>3.9565000000000003E-2</c:v>
                </c:pt>
                <c:pt idx="24">
                  <c:v>4.0104000000000001E-2</c:v>
                </c:pt>
                <c:pt idx="25">
                  <c:v>4.4764999999999999E-2</c:v>
                </c:pt>
                <c:pt idx="26">
                  <c:v>5.0458000000000003E-2</c:v>
                </c:pt>
                <c:pt idx="27">
                  <c:v>5.1056999999999998E-2</c:v>
                </c:pt>
                <c:pt idx="28">
                  <c:v>5.4433000000000002E-2</c:v>
                </c:pt>
                <c:pt idx="29">
                  <c:v>6.2602000000000005E-2</c:v>
                </c:pt>
                <c:pt idx="30">
                  <c:v>0.122695</c:v>
                </c:pt>
                <c:pt idx="31">
                  <c:v>0.14418500000000001</c:v>
                </c:pt>
              </c:numCache>
            </c:numRef>
          </c:val>
          <c:extLst>
            <c:ext xmlns:c15="http://schemas.microsoft.com/office/drawing/2012/chart" uri="{02D57815-91ED-43cb-92C2-25804820EDAC}">
              <c15:datalabelsRange>
                <c15:f>'2011 State Charts'!$H$5:$H$36</c15:f>
                <c15:dlblRangeCache>
                  <c:ptCount val="32"/>
                  <c:pt idx="0">
                    <c:v>0.06%</c:v>
                  </c:pt>
                  <c:pt idx="1">
                    <c:v>0.12%</c:v>
                  </c:pt>
                  <c:pt idx="2">
                    <c:v>0.13%</c:v>
                  </c:pt>
                  <c:pt idx="3">
                    <c:v>0.22%</c:v>
                  </c:pt>
                  <c:pt idx="4">
                    <c:v>0.38%</c:v>
                  </c:pt>
                  <c:pt idx="5">
                    <c:v>0.54%</c:v>
                  </c:pt>
                  <c:pt idx="6">
                    <c:v>0.60%</c:v>
                  </c:pt>
                  <c:pt idx="7">
                    <c:v>0.69%</c:v>
                  </c:pt>
                  <c:pt idx="8">
                    <c:v>0.93%</c:v>
                  </c:pt>
                  <c:pt idx="9">
                    <c:v>1.04%</c:v>
                  </c:pt>
                  <c:pt idx="10">
                    <c:v>1.11%</c:v>
                  </c:pt>
                  <c:pt idx="11">
                    <c:v>1.16%</c:v>
                  </c:pt>
                  <c:pt idx="12">
                    <c:v>1.54%</c:v>
                  </c:pt>
                  <c:pt idx="13">
                    <c:v>2.06%</c:v>
                  </c:pt>
                  <c:pt idx="14">
                    <c:v>2.18%</c:v>
                  </c:pt>
                  <c:pt idx="15">
                    <c:v>2.30%</c:v>
                  </c:pt>
                  <c:pt idx="16">
                    <c:v>2.40%</c:v>
                  </c:pt>
                  <c:pt idx="17">
                    <c:v>2.69%</c:v>
                  </c:pt>
                  <c:pt idx="18">
                    <c:v>2.80%</c:v>
                  </c:pt>
                  <c:pt idx="19">
                    <c:v>3.15%</c:v>
                  </c:pt>
                  <c:pt idx="20">
                    <c:v>3.24%</c:v>
                  </c:pt>
                  <c:pt idx="21">
                    <c:v>3.55%</c:v>
                  </c:pt>
                  <c:pt idx="22">
                    <c:v>3.65%</c:v>
                  </c:pt>
                  <c:pt idx="23">
                    <c:v>4.12%</c:v>
                  </c:pt>
                  <c:pt idx="24">
                    <c:v>4.17%</c:v>
                  </c:pt>
                  <c:pt idx="25">
                    <c:v>4.66%</c:v>
                  </c:pt>
                  <c:pt idx="26">
                    <c:v>5.25%</c:v>
                  </c:pt>
                  <c:pt idx="27">
                    <c:v>5.31%</c:v>
                  </c:pt>
                  <c:pt idx="28">
                    <c:v>5.66%</c:v>
                  </c:pt>
                  <c:pt idx="29">
                    <c:v>6.51%</c:v>
                  </c:pt>
                  <c:pt idx="30">
                    <c:v>12.77%</c:v>
                  </c:pt>
                  <c:pt idx="31">
                    <c:v>15.00%</c:v>
                  </c:pt>
                </c15:dlblRangeCache>
              </c15:datalabelsRange>
            </c:ext>
          </c:extLst>
        </c:ser>
        <c:dLbls>
          <c:showLegendKey val="0"/>
          <c:showVal val="0"/>
          <c:showCatName val="0"/>
          <c:showSerName val="0"/>
          <c:showPercent val="0"/>
          <c:showBubbleSize val="0"/>
        </c:dLbls>
        <c:gapWidth val="150"/>
        <c:axId val="427488248"/>
        <c:axId val="433180368"/>
      </c:barChart>
      <c:catAx>
        <c:axId val="427488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80368"/>
        <c:crosses val="autoZero"/>
        <c:auto val="1"/>
        <c:lblAlgn val="ctr"/>
        <c:lblOffset val="100"/>
        <c:noMultiLvlLbl val="0"/>
      </c:catAx>
      <c:valAx>
        <c:axId val="433180368"/>
        <c:scaling>
          <c:orientation val="minMax"/>
          <c:max val="0.1500000000000000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a:pPr>
                <a:r>
                  <a:rPr lang="en-US"/>
                  <a:t>Sulfate</a:t>
                </a:r>
                <a:r>
                  <a:rPr lang="en-US" baseline="0"/>
                  <a:t> Contributions (</a:t>
                </a:r>
                <a:r>
                  <a:rPr lang="el-GR" sz="1000" b="1" i="0" u="none" strike="noStrike" baseline="0">
                    <a:effectLst/>
                  </a:rPr>
                  <a:t>μ</a:t>
                </a:r>
                <a:r>
                  <a:rPr lang="en-US" sz="1000" b="1" i="0" u="none" strike="noStrike" baseline="0">
                    <a:effectLst/>
                  </a:rPr>
                  <a:t>g/m</a:t>
                </a:r>
                <a:r>
                  <a:rPr lang="en-US" sz="1000" b="1" i="0" u="none" strike="noStrike" baseline="30000">
                    <a:effectLst/>
                  </a:rPr>
                  <a:t>3</a:t>
                </a:r>
                <a:r>
                  <a:rPr lang="en-US" baseline="0"/>
                  <a:t>)</a:t>
                </a:r>
                <a:endParaRPr lang="en-US"/>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488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draftQdC2018SCCStateSummary - 160330.xlsx]2018 State Charts!PivotTable4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2018</a:t>
            </a:r>
            <a:endParaRPr lang="en-US"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AFD9BF9-67FF-49D0-9D8D-402323490E1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C871A69-E747-47BA-97EF-09A1DD8CE8A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C2B7F0-564F-401F-B7C0-91A29034C9B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79D9802-FB2D-4872-8130-4D2974D8405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C78ED5-D44B-483F-BBC3-BAAF02E07EF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1D21C3-41A8-4B86-84DD-8679C7DDB56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324CE88-2247-4AF6-884D-0F074DD10BB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ADD0279-0A30-404E-8121-491D3BB51F1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BD93A99-DDA5-4F95-A084-D752459AF55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FB452A-5F6A-4D39-89F7-212129F0F0E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B84692-D165-40E5-A2AD-DE703E32FF2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0C2737F-BC02-413B-B008-0461AD92F05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5389649-FD02-49A4-9DE3-7DB682048AE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151B447-8568-487B-98F5-BA0966BDA62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627D183-5A3C-4E5A-8895-FF0F3E8760D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7258C6-94BA-4B24-B3A7-5C8BA1783D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C143340-BC47-4811-92CA-3F2299C80B8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3E38CB5-4111-4AD0-B6D3-07CF30376AD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6124C2-A094-4B71-8D63-DCCF29E6836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0FCDD11-0BE5-4DD9-BF13-496E61339E6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A930C4-4624-4574-A751-3357F4BE9F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E04AFA5-DF94-495F-A9EE-6B756806D4C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48317C9-966A-468F-88C2-B55BD5B44B6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145D1C3-46C1-4184-A08C-7CD3AD14CED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FF1A545-1124-4D8D-A370-98618A1776F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751745-0B26-4D34-85EF-4AFCACE8306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0541F14-89BD-4557-AC6F-65CB6369544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95EB9F6-DEC6-4271-9B67-C15F0235AC4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F4DD10-21F0-4ADC-A919-AFF0D2D95C6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6955248-4E89-49AD-8777-BFE5B954B74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D374BC3-210F-4CDC-896B-2E54F192E98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E5DEE22-06F0-485D-9B59-B118275D723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3"/>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AC6EF29-81DD-4E1B-AAFD-13BC311F309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6B32F42-9700-45F7-8256-8B95D979453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31D3609-E8EB-4444-B043-117DEC8FA08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FA0116-CD68-46AD-B00E-A49B2D2CFF5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A7E6FFA-A415-48E8-ADF1-85861B837BF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EE2698C-4909-483D-B4BB-D490C338075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3E01C55-4488-4FB6-A714-99786E47887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00109F4-41F9-4F7A-A569-B915A907E9E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F2726FB-8E04-48DD-9794-A74DE678BE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406236B-91B6-4F93-8D0B-09FE0DE22EB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8A11E2-475D-4F6D-ABAE-0D5998B2D26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A160F1D-217A-4159-808C-D9FC90C735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BDCF4FC-E0BA-486A-9DD5-90FF8770E0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E4EBFF1-EC3C-4E33-B321-AA4781980C0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BB1529C-B51B-4BF0-A4EA-2E65CA048A4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D574AD-D556-49D2-8DEC-F38B377DAD1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CC47104-4CC9-4BB2-B1D2-F43334279A6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CC1E0F-A905-4B30-BDEF-15D505FE369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FAB26F3-AB85-43B0-8654-96811B48739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B00FEA6-293A-45D2-BF24-6023BF1F7EA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E0DFFB5-45D2-4F18-A223-858BCD4A3D8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679A613-2526-40C1-8760-B32A365CCB1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910A0BD-44A1-4014-9721-0F1821F14FD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33BA4BF-DF23-4C04-B9A8-9070FDFA4C2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17787B3-2401-4F0C-80F8-D05855FCB01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8326E2-FAB0-4C17-A969-A872097E31D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A53B3A8-E243-46FC-B3A0-1F085FEEA42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06B579-8E9A-4168-805C-5A75999C9AB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44B3DF-843C-434E-BF6A-1E3795A255C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D08452F-12F6-4FE1-8822-E7FCF418A7B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071A077-1CC8-464D-9BFE-FD7464BC4D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D595F0A-D834-4480-8B81-D1DA50B7E42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6"/>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BA79189-5A64-4F97-A6CA-704E5283188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0D62F61-7829-41E1-9DE8-C0C98DBF478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41CE118-3FBA-4843-93F0-8D9B02C289C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54A8BC-BF7D-494E-824D-112A0938F89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6A5FD58-0473-4B37-B1E6-B12BB0A9685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B9FB7B0-FBD4-465A-A9D6-DD5C03DD168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E067F5D-6AAC-4FBD-A134-51609D3633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602C1D-CD00-4B81-A7B1-E61B98C69C8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879A511-A797-436B-88D3-83C0470E95E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E5F9965-C27B-44A0-81C6-914375064B3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22801E5-46B1-4D04-BC05-3327F4B5C34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68EDAE4-449D-4352-A6D8-989A748487B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B06F4F0-2E48-4AA0-8CB1-BB29DDDC3F7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71DFCD-4368-4FF4-9D65-35CE94492D2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F688AA7-09A8-4766-826C-2A280375805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3081236-08E6-4A65-A3A6-32D5DBFF860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3AE85BF-5A21-424C-8888-E906C410C22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0A9C55-D5F8-47DA-B57F-CDFC145B1CA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5064E8-17FA-49B3-B0DA-1AF7074FDD8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69A18CA-C76C-48CD-BAD7-A28A89C02B8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E98650D-5D5D-46EE-BF16-3D1A70EDE9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1B3818B-9B7F-4B33-9E76-7278306D1B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B5C999F-0175-4313-A297-61681E24A75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9A6E73D-392E-46B6-A002-16D71EEF8C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9CA703B-513F-4BA3-AFA9-975E461F301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376127D-1E0C-482E-8282-653177C2EF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B028D9-8599-4048-BB07-053DD6AF85C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4B57A85-056A-4D79-A5A2-E7D6F0B2257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A1FEE28-D716-411D-AE6B-54ED368F27E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2367E9-CED3-46CA-A00C-17FDF8E6D64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91A84BA-A24D-4B1D-A62A-E2D04099380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D49427D-65A3-4627-8411-339C9C43844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'2018 State Charts'!$N$4</c:f>
              <c:strCache>
                <c:ptCount val="1"/>
                <c:pt idx="0">
                  <c:v>Total</c:v>
                </c:pt>
              </c:strCache>
            </c:strRef>
          </c:tx>
          <c:spPr>
            <a:solidFill>
              <a:schemeClr val="accent2"/>
            </a:solidFill>
            <a:ln>
              <a:noFill/>
            </a:ln>
            <a:effectLst/>
          </c:spPr>
          <c:invertIfNegative val="0"/>
          <c:dLbls>
            <c:dLbl>
              <c:idx val="0"/>
              <c:layout/>
              <c:tx>
                <c:rich>
                  <a:bodyPr/>
                  <a:lstStyle/>
                  <a:p>
                    <a:fld id="{2BCC3939-5586-4EF4-8581-1288B5E5E77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a:lstStyle/>
                  <a:p>
                    <a:fld id="{1CC1B3B3-E458-404E-B2BB-42A61A19527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220CD2C5-8D80-49C6-A185-D7E715855E9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AB8B53CA-23DF-449F-AD45-3A74FAAF693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CF7A5DB5-CFE7-4818-A822-A273246398F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6557B05B-A8F9-48CC-91C8-C38F06738EC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76597E3A-D48B-4757-904B-E6817EB0840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2D11AA1A-89F3-46EC-ADB4-8FD2EE5B473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a:lstStyle/>
                  <a:p>
                    <a:fld id="{FBE88023-46EC-4755-B7D6-2B8BF2C8787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a:lstStyle/>
                  <a:p>
                    <a:fld id="{422D6E79-0C37-4B77-B50F-8C734F65543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a:lstStyle/>
                  <a:p>
                    <a:fld id="{2BDC661D-B37C-4B04-831F-48998828E2A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a:lstStyle/>
                  <a:p>
                    <a:fld id="{DF587D88-659F-4D6E-833D-252891478AE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a:lstStyle/>
                  <a:p>
                    <a:fld id="{8A007C58-0D54-4303-971C-FFE00D287FB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a:lstStyle/>
                  <a:p>
                    <a:fld id="{7F6A7D4B-9CCF-4D49-A836-1BCD5C9C9D5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a:lstStyle/>
                  <a:p>
                    <a:fld id="{3BF8A77E-E9EC-4248-BB8B-4CF87874939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a:lstStyle/>
                  <a:p>
                    <a:fld id="{4C81050A-88E1-41E9-8E4A-8D13D9E2C24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a:lstStyle/>
                  <a:p>
                    <a:fld id="{E4F335E9-DDB6-4A20-BDBD-FDF19F87F0B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a:lstStyle/>
                  <a:p>
                    <a:fld id="{320427D2-8E69-43AE-99BC-4F59A46A790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a:lstStyle/>
                  <a:p>
                    <a:fld id="{D43C36D7-CF5B-4333-B0D1-A61A81F3D42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a:lstStyle/>
                  <a:p>
                    <a:fld id="{05F9A449-D206-49EB-A144-2DE1B252B7D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a:lstStyle/>
                  <a:p>
                    <a:fld id="{51C3D36D-F2AC-4728-94C0-2A83743BAF0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a:lstStyle/>
                  <a:p>
                    <a:fld id="{AE78A454-62BB-439A-B2F9-A4752F6E62A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a:lstStyle/>
                  <a:p>
                    <a:fld id="{9AAB2C2D-FE52-4BF3-898F-2481C83294B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a:lstStyle/>
                  <a:p>
                    <a:fld id="{3074E664-6F86-4D56-9310-37EBD02C3F3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a:lstStyle/>
                  <a:p>
                    <a:fld id="{3B8ECCD6-D967-413F-99E2-F7B2211983C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a:lstStyle/>
                  <a:p>
                    <a:fld id="{1FC2FD41-5834-4F8F-8F58-1F97B20D861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a:lstStyle/>
                  <a:p>
                    <a:fld id="{877CD741-8264-4217-9769-C0670AF188D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a:lstStyle/>
                  <a:p>
                    <a:fld id="{9D3F2CF4-EFEE-44F6-92B8-5D1E49AD4A0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a:lstStyle/>
                  <a:p>
                    <a:fld id="{AF8B2B62-8EC6-4F26-A239-4C3DD468F4B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a:lstStyle/>
                  <a:p>
                    <a:fld id="{B677A18C-69D3-4314-8E8A-8A952A4AAC9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a:lstStyle/>
                  <a:p>
                    <a:fld id="{426283F1-3929-4CC6-AC4D-EA1C800B6D8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1"/>
              <c:layout/>
              <c:tx>
                <c:rich>
                  <a:bodyPr/>
                  <a:lstStyle/>
                  <a:p>
                    <a:fld id="{5BE79A47-F353-4300-ABEB-7EE4437B34B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'2018 State Charts'!$P$5:$P$36</c:f>
              <c:strCache>
                <c:ptCount val="32"/>
                <c:pt idx="0">
                  <c:v>CT</c:v>
                </c:pt>
                <c:pt idx="1">
                  <c:v>RI</c:v>
                </c:pt>
                <c:pt idx="2">
                  <c:v>DC</c:v>
                </c:pt>
                <c:pt idx="3">
                  <c:v>VT</c:v>
                </c:pt>
                <c:pt idx="4">
                  <c:v>DE</c:v>
                </c:pt>
                <c:pt idx="5">
                  <c:v>MA</c:v>
                </c:pt>
                <c:pt idx="6">
                  <c:v>NJ</c:v>
                </c:pt>
                <c:pt idx="7">
                  <c:v>ME</c:v>
                </c:pt>
                <c:pt idx="8">
                  <c:v>MN</c:v>
                </c:pt>
                <c:pt idx="9">
                  <c:v>NH</c:v>
                </c:pt>
                <c:pt idx="10">
                  <c:v>SC</c:v>
                </c:pt>
                <c:pt idx="11">
                  <c:v>GA</c:v>
                </c:pt>
                <c:pt idx="12">
                  <c:v>VA</c:v>
                </c:pt>
                <c:pt idx="13">
                  <c:v>MS</c:v>
                </c:pt>
                <c:pt idx="14">
                  <c:v>IA</c:v>
                </c:pt>
                <c:pt idx="15">
                  <c:v>NC</c:v>
                </c:pt>
                <c:pt idx="16">
                  <c:v>TN</c:v>
                </c:pt>
                <c:pt idx="17">
                  <c:v>AL</c:v>
                </c:pt>
                <c:pt idx="18">
                  <c:v>WI</c:v>
                </c:pt>
                <c:pt idx="19">
                  <c:v>LA</c:v>
                </c:pt>
                <c:pt idx="20">
                  <c:v>AR</c:v>
                </c:pt>
                <c:pt idx="21">
                  <c:v>MD</c:v>
                </c:pt>
                <c:pt idx="22">
                  <c:v>WV</c:v>
                </c:pt>
                <c:pt idx="23">
                  <c:v>NY</c:v>
                </c:pt>
                <c:pt idx="24">
                  <c:v>KY</c:v>
                </c:pt>
                <c:pt idx="25">
                  <c:v>IL</c:v>
                </c:pt>
                <c:pt idx="26">
                  <c:v>MI</c:v>
                </c:pt>
                <c:pt idx="27">
                  <c:v>MO</c:v>
                </c:pt>
                <c:pt idx="28">
                  <c:v>IN</c:v>
                </c:pt>
                <c:pt idx="29">
                  <c:v>TX</c:v>
                </c:pt>
                <c:pt idx="30">
                  <c:v>OH</c:v>
                </c:pt>
                <c:pt idx="31">
                  <c:v>PA</c:v>
                </c:pt>
              </c:strCache>
            </c:strRef>
          </c:cat>
          <c:val>
            <c:numRef>
              <c:f>'2018 State Charts'!$P$5:$P$36</c:f>
              <c:numCache>
                <c:formatCode>General</c:formatCode>
                <c:ptCount val="32"/>
                <c:pt idx="0">
                  <c:v>6.6107497526350992E-5</c:v>
                </c:pt>
                <c:pt idx="1">
                  <c:v>8.2581318087570553E-5</c:v>
                </c:pt>
                <c:pt idx="2">
                  <c:v>1.0497119717542759E-4</c:v>
                </c:pt>
                <c:pt idx="3">
                  <c:v>2.8534627290525082E-4</c:v>
                </c:pt>
                <c:pt idx="4">
                  <c:v>3.5621340953274964E-4</c:v>
                </c:pt>
                <c:pt idx="5">
                  <c:v>4.877845743696212E-4</c:v>
                </c:pt>
                <c:pt idx="6">
                  <c:v>4.8787910294189327E-4</c:v>
                </c:pt>
                <c:pt idx="7">
                  <c:v>5.0357486025507552E-4</c:v>
                </c:pt>
                <c:pt idx="8">
                  <c:v>6.6972574396901121E-4</c:v>
                </c:pt>
                <c:pt idx="9">
                  <c:v>1.640816393064592E-3</c:v>
                </c:pt>
                <c:pt idx="10">
                  <c:v>2.3352199054261381E-3</c:v>
                </c:pt>
                <c:pt idx="11">
                  <c:v>2.4962325739782527E-3</c:v>
                </c:pt>
                <c:pt idx="12">
                  <c:v>2.612368021773516E-3</c:v>
                </c:pt>
                <c:pt idx="13">
                  <c:v>3.1768190990457976E-3</c:v>
                </c:pt>
                <c:pt idx="14">
                  <c:v>3.3205753047467774E-3</c:v>
                </c:pt>
                <c:pt idx="15">
                  <c:v>3.9365767980145457E-3</c:v>
                </c:pt>
                <c:pt idx="16">
                  <c:v>4.1976501728516078E-3</c:v>
                </c:pt>
                <c:pt idx="17">
                  <c:v>4.4552002519729402E-3</c:v>
                </c:pt>
                <c:pt idx="18">
                  <c:v>4.5198938040370432E-3</c:v>
                </c:pt>
                <c:pt idx="19">
                  <c:v>5.9276970744418442E-3</c:v>
                </c:pt>
                <c:pt idx="20">
                  <c:v>6.7217903190893106E-3</c:v>
                </c:pt>
                <c:pt idx="21">
                  <c:v>7.5966168627627584E-3</c:v>
                </c:pt>
                <c:pt idx="22">
                  <c:v>7.8023394667678077E-3</c:v>
                </c:pt>
                <c:pt idx="23">
                  <c:v>8.3793320182409623E-3</c:v>
                </c:pt>
                <c:pt idx="24">
                  <c:v>1.3470110981465751E-2</c:v>
                </c:pt>
                <c:pt idx="25">
                  <c:v>1.3941262402712788E-2</c:v>
                </c:pt>
                <c:pt idx="26">
                  <c:v>1.4561194974351061E-2</c:v>
                </c:pt>
                <c:pt idx="27">
                  <c:v>1.891146063164947E-2</c:v>
                </c:pt>
                <c:pt idx="28">
                  <c:v>1.9877201877281852E-2</c:v>
                </c:pt>
                <c:pt idx="29">
                  <c:v>2.0347603209341904E-2</c:v>
                </c:pt>
                <c:pt idx="30">
                  <c:v>2.502093644167451E-2</c:v>
                </c:pt>
                <c:pt idx="31">
                  <c:v>2.7735530428111953E-2</c:v>
                </c:pt>
              </c:numCache>
            </c:numRef>
          </c:val>
          <c:extLst>
            <c:ext xmlns:c15="http://schemas.microsoft.com/office/drawing/2012/chart" uri="{02D57815-91ED-43cb-92C2-25804820EDAC}">
              <c15:datalabelsRange>
                <c15:f>'2018 State Charts'!$P$5:$P$36</c15:f>
                <c15:dlblRangeCache>
                  <c:ptCount val="32"/>
                  <c:pt idx="0">
                    <c:v>0.03%</c:v>
                  </c:pt>
                  <c:pt idx="1">
                    <c:v>0.04%</c:v>
                  </c:pt>
                  <c:pt idx="2">
                    <c:v>0.05%</c:v>
                  </c:pt>
                  <c:pt idx="3">
                    <c:v>0.13%</c:v>
                  </c:pt>
                  <c:pt idx="4">
                    <c:v>0.16%</c:v>
                  </c:pt>
                  <c:pt idx="5">
                    <c:v>0.22%</c:v>
                  </c:pt>
                  <c:pt idx="6">
                    <c:v>0.22%</c:v>
                  </c:pt>
                  <c:pt idx="7">
                    <c:v>0.22%</c:v>
                  </c:pt>
                  <c:pt idx="8">
                    <c:v>0.30%</c:v>
                  </c:pt>
                  <c:pt idx="9">
                    <c:v>0.73%</c:v>
                  </c:pt>
                  <c:pt idx="10">
                    <c:v>1.03%</c:v>
                  </c:pt>
                  <c:pt idx="11">
                    <c:v>1.10%</c:v>
                  </c:pt>
                  <c:pt idx="12">
                    <c:v>1.16%</c:v>
                  </c:pt>
                  <c:pt idx="13">
                    <c:v>1.41%</c:v>
                  </c:pt>
                  <c:pt idx="14">
                    <c:v>1.47%</c:v>
                  </c:pt>
                  <c:pt idx="15">
                    <c:v>1.74%</c:v>
                  </c:pt>
                  <c:pt idx="16">
                    <c:v>1.86%</c:v>
                  </c:pt>
                  <c:pt idx="17">
                    <c:v>1.97%</c:v>
                  </c:pt>
                  <c:pt idx="18">
                    <c:v>2.00%</c:v>
                  </c:pt>
                  <c:pt idx="19">
                    <c:v>2.62%</c:v>
                  </c:pt>
                  <c:pt idx="20">
                    <c:v>2.97%</c:v>
                  </c:pt>
                  <c:pt idx="21">
                    <c:v>3.36%</c:v>
                  </c:pt>
                  <c:pt idx="22">
                    <c:v>3.45%</c:v>
                  </c:pt>
                  <c:pt idx="23">
                    <c:v>3.71%</c:v>
                  </c:pt>
                  <c:pt idx="24">
                    <c:v>5.96%</c:v>
                  </c:pt>
                  <c:pt idx="25">
                    <c:v>6.17%</c:v>
                  </c:pt>
                  <c:pt idx="26">
                    <c:v>6.44%</c:v>
                  </c:pt>
                  <c:pt idx="27">
                    <c:v>8.37%</c:v>
                  </c:pt>
                  <c:pt idx="28">
                    <c:v>8.79%</c:v>
                  </c:pt>
                  <c:pt idx="29">
                    <c:v>9.00%</c:v>
                  </c:pt>
                  <c:pt idx="30">
                    <c:v>11.07%</c:v>
                  </c:pt>
                  <c:pt idx="31">
                    <c:v>12.27%</c:v>
                  </c:pt>
                </c15:dlblRangeCache>
              </c15:datalabelsRange>
            </c:ext>
          </c:extLst>
        </c:ser>
        <c:dLbls>
          <c:showLegendKey val="0"/>
          <c:showVal val="0"/>
          <c:showCatName val="0"/>
          <c:showSerName val="0"/>
          <c:showPercent val="0"/>
          <c:showBubbleSize val="0"/>
        </c:dLbls>
        <c:gapWidth val="182"/>
        <c:axId val="433181152"/>
        <c:axId val="433181544"/>
      </c:barChart>
      <c:catAx>
        <c:axId val="43318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81544"/>
        <c:crosses val="autoZero"/>
        <c:auto val="1"/>
        <c:lblAlgn val="ctr"/>
        <c:lblOffset val="100"/>
        <c:noMultiLvlLbl val="0"/>
      </c:catAx>
      <c:valAx>
        <c:axId val="433181544"/>
        <c:scaling>
          <c:orientation val="minMax"/>
          <c:max val="0.15000000000000002"/>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Sulfate</a:t>
                </a:r>
                <a:r>
                  <a:rPr lang="en-US" b="1" baseline="0"/>
                  <a:t> Contributions (</a:t>
                </a:r>
                <a:r>
                  <a:rPr lang="el-GR" sz="1000" b="1" i="0" u="none" strike="noStrike" baseline="0">
                    <a:effectLst/>
                  </a:rPr>
                  <a:t>μ</a:t>
                </a:r>
                <a:r>
                  <a:rPr lang="en-US" sz="1000" b="1" i="0" u="none" strike="noStrike" baseline="0">
                    <a:effectLst/>
                  </a:rPr>
                  <a:t>g/m</a:t>
                </a:r>
                <a:r>
                  <a:rPr lang="en-US" sz="1000" b="1" i="0" u="none" strike="noStrike" baseline="30000">
                    <a:effectLst/>
                  </a:rPr>
                  <a:t>3</a:t>
                </a:r>
                <a:r>
                  <a:rPr lang="en-US" b="1" baseline="0"/>
                  <a:t>)</a:t>
                </a:r>
                <a:endParaRPr lang="en-US" b="1"/>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8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[draftQdC2018SCCStateSummary.xlsx]2011 State Charts!PivotTable3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2011</a:t>
            </a:r>
          </a:p>
        </c:rich>
      </c:tx>
      <c:layout/>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94CC48-81D9-4328-8D66-679574C488C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80E65D-D634-4759-BD6B-A1B5AA4312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44EF6D-BE15-4334-B3CA-DBF849F48EE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CD1BAA1-8DA5-4A84-B95F-3B2C4EA02EF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EB7240-84FC-4012-AFD1-71DD6DF4F06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ACF69E-C57F-45D9-AE86-A92AB7E57B8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24A4E9-0865-403C-991D-8EA30C527F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31D4221-5CC5-4BE6-B04E-5C3E624018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A5A587-D60A-4387-AC68-F0B629456B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B2584-C921-434C-A185-9A6EB25A8ED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A3140DC-2ED7-405B-8DEE-E80E28C1AA5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728D6CD-D250-4630-9E78-EB244EF831D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9F5E57E-F8F5-47BF-8600-AA9F8C77B26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8342D06-6CAF-4920-AB7F-31E8BD3F2BD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CBC2B37-F8AD-4935-8373-B1B40F8BC99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E75BEB-49BC-48DD-8B62-11CE841116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CC3BCCE-140B-41A4-9686-2DE98EA79F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DE713A-7D14-4F36-A9AA-1A648594CEB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A0CAFC-1043-47D3-8679-3E9F9E930EB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11F3AE0-C599-4EC0-98FB-C061A29A6B7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CEC439-2626-4F9C-A65E-A3082DC8A0E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374F67-4EDE-4F60-98DF-AA6466877BA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5823837-3DD2-4CB5-A8E2-9C43310CB94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61CABA-DF0A-46CB-B3C4-F79533183D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2B9097-930D-4611-ABC1-3CD6484CF98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138D54-6919-4F9E-A483-1C207842CAE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9A0D111-E370-4943-81D9-9F166BD9603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B692B9-2A6C-4BC3-993C-9582AFFB762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01A262-EDA6-4822-B3A8-81C94FE3A57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7780D5-9B49-42EC-8B68-E6219857A1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FF492EF-F349-41E4-8CD4-238C0450D1E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7381F7-0F3C-444C-846C-2FAD94A36B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9EF4107-02A2-457E-8934-7A42D06A388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7C9B561-5322-481D-A713-5F837E8A8A4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65BD4B8-D00E-4E8B-A720-40970CC7246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04721CE-68F0-48A5-9AC4-3DA31C7EFCD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8C79C7-AEB1-4375-ADA3-D4ADB6F2D0B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A9F3F43-059F-4D67-9FCA-7E1B966C509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928BB3-1ACE-4D45-8B5D-4348A0F47C0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0AF5289-1890-4B39-BE2D-B86A8E82E37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C1FED4-A98A-47D5-A8CB-28A78C3A57B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7E4BCB2-53FF-4734-B3D7-635E5E85BB2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54205E-1D68-4243-B751-C15FFDC3730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1F35E57-E2EA-4B76-9ADD-0A2C18DA4FB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4F60D40-890D-450F-9C43-6C3E0D2E3EC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9E7B137-639E-4FF6-B3D1-11AB7448ADE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3D23408-AB54-4C1F-AD04-35A998E7A21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FCCB186-D5FF-4C22-9BCE-500FF882ED2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672CC0E-8E62-4A7B-87BF-F108ED29838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AA76D8E-7AE7-469A-AEEE-57409C0A99A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0F5F330-99B2-4A75-A8FB-78EB5B13E60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786063-FFBE-49EE-BD08-01F908A14C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EE7E70A-1043-43A6-A855-9426A493A5E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3D58BE2-7F2F-4080-B03B-FAFDF2E2CB5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8A35FAC-366D-4CF7-B278-4785B55ED40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31A9B56-7829-466D-94C5-EEB30C7CD05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274C901-CAD2-4980-ACD9-BA0A58E2F9C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7023013-8353-4893-90E6-E973200DA75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129260E-66ED-4621-AB53-8655E3C5C5F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003B8E2-10BD-4BB5-94DB-DD3AE054071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90D91F-9EE3-47D0-A2F2-412B6E83C7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637292-D334-43D7-88E7-17DDB8CB85A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D80F196-3E88-482C-9AB8-5010DD1F9E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FA3338-569E-4FA6-B44B-BE8D7169DC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6D4EE7A-5224-43F4-A192-0C03F48295D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5BFDAE8-25C2-4309-971B-04F4CF0CA2B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1904B8-711A-41F1-A9DD-6B8D862C814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B1303C-A4C8-4BAC-B888-7AA7F8ADCB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5470FA-393E-4FAA-AB8D-CFC9E4783EE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6DF5652-8A7E-470A-9630-8CA52B0F7C1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EF7C17-DE97-440C-A477-FB010DE4D8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4B6E0E-BA1F-43F7-899F-0E81D9F7A59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3F7DCA5-136D-4A51-B8AF-D73314408BB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A0458B-E099-4512-ACC7-CCB6C864953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38D29C-552C-4202-9E1C-CA24B2C4C6B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ACBFFDB-97CC-4335-936F-6CE38E1863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5BF9970-1309-43D3-9455-956CE9941CF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6EE287-E75D-4587-867F-DAA07F90C65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8158691-8E55-4998-A93D-C428579EF0B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C6F5550-C4D4-4551-A8AA-F2E3F90DC63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06F24C2-3F69-40C0-8DCE-7AED4E27B6B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B8CE81-D495-4C1A-BE9E-08765A5DFD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A20C153-D7B6-4F21-BAAA-7575810C7FC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B5329B7-9C8B-4845-9D2F-22A61F6BD5D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E3DD6BA-8703-4948-A137-50BE42B3B68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A523C5-B8B2-4AF6-B62C-62B56EAC96B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A86CC58-0247-4355-9160-6D1896894AE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A200803-05CA-4BF0-BD68-922837F0705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31F4B3-D235-4017-8583-FDBB9940EDC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F8AD5A-E6A2-4C25-BAA7-526B3DBA6FB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B5C7261-3EF8-46C2-8F77-D690F72DDE0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28DAA2-0E92-46A4-8D8E-4693766EF44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1298547-D5D1-4B26-AAA9-F6F3A3182B2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FE09CD-931E-472F-A1C4-6D63210E140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87B3E6-87A5-4005-AFD9-0339A12F3D1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29B89BC-7A77-45AE-9B79-4514FDF1D61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0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ED83C02-ED2E-4FC5-ACE8-A47A7E9842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B6DE889-F08A-48A1-A522-D95B5D9EA27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F09E931-B5A7-4CBF-961D-F0EAB141788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F09254A-5F1A-4A8A-96D9-58C9519F5D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FD13E9-F6E4-4467-9857-97DC579865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2306C90-DFFB-464D-A1B9-D8978135D5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86CA12A-5550-4521-9894-11DB3507807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7CEF84-2B6E-4A6C-8B32-9152767A67C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CB9DEAA-81EA-4E4B-AEA5-013E0CA5B00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3F07B5-0B48-4188-A36F-EEF6C6499EC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F00DECE-FE79-44C6-B33B-8F2B45B7EC4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D7F75FC-7659-46AD-8740-3CB0D2C4907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CFEEBA9-D677-4DDB-B2E1-31B4AA576EF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E8E31D2-67FF-47D0-9DA7-5ADD4D4C5B7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EF646A-088B-45FB-BF8B-DE421B5A48B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13E136B-A4E7-49C5-8533-CC6A891CEE1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5FC45A-3AFE-4AFD-886E-BD64532D36D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DF473DA-66CD-4C3D-9CC7-7384AC42A3B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619B3D1-DE28-46EB-9F3C-8A8ACF7A94D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F347BB2-1DFE-4EE3-B0D1-5CDF69E6ED1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FBF8853-3A0E-412B-B158-41B35F2AEBD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48889B8-30D7-49E2-89C7-C7ACB389CD8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30647A-9F46-4818-8099-83647327C93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F39608-6522-4F60-8A06-96FCAEC92A0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A76F937-59D4-474B-9C1E-ABF496CF5C8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DC007CF-584F-401E-9046-9947E39A332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6"/>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D588009-8641-4505-8770-20D30E03815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080981-DB71-4D43-940D-2C7EC63FFF2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B30E443-6C99-4286-B8BB-07C7D69B929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DE722F-35DE-480F-B872-CDBBD506BC2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B60EEB5-CD61-490E-B7C2-8F49FE550A9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6FD23D1-147F-457E-8F54-D74963DC675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'2011 State Charts'!$F$4</c:f>
              <c:strCache>
                <c:ptCount val="1"/>
                <c:pt idx="0">
                  <c:v>Total</c:v>
                </c:pt>
              </c:strCache>
            </c:strRef>
          </c:tx>
          <c:spPr>
            <a:solidFill>
              <a:schemeClr val="accent1"/>
            </a:solidFill>
            <a:ln>
              <a:noFill/>
            </a:ln>
            <a:effectLst/>
          </c:spPr>
          <c:invertIfNegative val="0"/>
          <c:dLbls>
            <c:dLbl>
              <c:idx val="0"/>
              <c:layout/>
              <c:tx>
                <c:rich>
                  <a:bodyPr/>
                  <a:lstStyle/>
                  <a:p>
                    <a:fld id="{3A23C945-04D8-4FDC-94C3-4E144D7978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a:lstStyle/>
                  <a:p>
                    <a:fld id="{FF97E3D8-8E44-4F9B-AE9D-455E51CE16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87D3559B-5CFE-476C-A080-D16629E5D3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1582642C-9548-4C29-B050-F30715FF3E3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B4473265-1ABE-4C4E-8EB7-E1381C01B3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55D08C8C-CB60-48DE-A632-CF77527D4CC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221E6F84-D88B-4778-8A6F-A97E0036A3D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E1FCB088-FAD2-4ADA-A260-A8A2B1899C9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a:lstStyle/>
                  <a:p>
                    <a:fld id="{C666EDEE-0E89-4B8D-A65C-07A3504D102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a:lstStyle/>
                  <a:p>
                    <a:fld id="{CC095737-B281-404F-B3FD-C980CA69CF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a:lstStyle/>
                  <a:p>
                    <a:fld id="{82A9D09D-F63E-4C1D-BE58-60BDB7432E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a:lstStyle/>
                  <a:p>
                    <a:fld id="{DCB6BE7C-A814-4E53-8FA9-0B0B885D04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a:lstStyle/>
                  <a:p>
                    <a:fld id="{D12D8C52-B875-48F0-9191-84DB086B0E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a:lstStyle/>
                  <a:p>
                    <a:fld id="{47CDC455-A0BC-4569-9153-44B21E029B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a:lstStyle/>
                  <a:p>
                    <a:fld id="{12FC7DE2-96FE-453E-B89E-45F6BA3177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a:lstStyle/>
                  <a:p>
                    <a:fld id="{607784A1-389E-4443-8CD0-DA66FA0375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a:lstStyle/>
                  <a:p>
                    <a:fld id="{ED22BDA9-D457-4250-BBDF-FE0400CFFC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a:lstStyle/>
                  <a:p>
                    <a:fld id="{D40458F6-60DE-4F83-B8CC-68526EDF67C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a:lstStyle/>
                  <a:p>
                    <a:fld id="{3E9148AB-2376-4E71-9A83-E507D55E3B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a:lstStyle/>
                  <a:p>
                    <a:fld id="{5C7EDB9F-99DA-4342-979A-B70A412C5D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a:lstStyle/>
                  <a:p>
                    <a:fld id="{BD8B72FE-24BB-4593-96DC-7BEBE5AEB5E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a:lstStyle/>
                  <a:p>
                    <a:fld id="{1CD55F62-E9C3-486E-905A-729FC07A75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a:lstStyle/>
                  <a:p>
                    <a:fld id="{C0130252-A596-44C5-A223-93437BFEA0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a:lstStyle/>
                  <a:p>
                    <a:fld id="{C2AA10C4-72D2-4A1E-8391-74CE4C6011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a:lstStyle/>
                  <a:p>
                    <a:fld id="{A0E02B07-0C6B-42E8-A7AD-F2BEA1D980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a:lstStyle/>
                  <a:p>
                    <a:fld id="{D922FE97-1242-4C88-BC09-AAE8528631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a:lstStyle/>
                  <a:p>
                    <a:fld id="{E5FA7394-984A-460C-80E7-0EE91DB8EB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a:lstStyle/>
                  <a:p>
                    <a:fld id="{1285A406-14C5-406F-A02E-8A1930B912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a:lstStyle/>
                  <a:p>
                    <a:fld id="{5AF3F8BF-88FE-47B8-9F95-812D916EB8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a:lstStyle/>
                  <a:p>
                    <a:fld id="{E20D6C16-5E98-4EBC-B330-9AC1549643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a:lstStyle/>
                  <a:p>
                    <a:fld id="{5F6F8A4C-9B36-4B3F-ADDC-F0DEAB726E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1"/>
              <c:layout/>
              <c:tx>
                <c:rich>
                  <a:bodyPr/>
                  <a:lstStyle/>
                  <a:p>
                    <a:fld id="{4B2FD19C-D922-4398-8DF5-AED394B0F2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'2011 State Charts'!$H$5:$H$36</c:f>
              <c:strCache>
                <c:ptCount val="32"/>
                <c:pt idx="0">
                  <c:v>VT</c:v>
                </c:pt>
                <c:pt idx="1">
                  <c:v>RI</c:v>
                </c:pt>
                <c:pt idx="2">
                  <c:v>DC</c:v>
                </c:pt>
                <c:pt idx="3">
                  <c:v>ME</c:v>
                </c:pt>
                <c:pt idx="4">
                  <c:v>MN</c:v>
                </c:pt>
                <c:pt idx="5">
                  <c:v>CT</c:v>
                </c:pt>
                <c:pt idx="6">
                  <c:v>NH</c:v>
                </c:pt>
                <c:pt idx="7">
                  <c:v>MS</c:v>
                </c:pt>
                <c:pt idx="8">
                  <c:v>AR</c:v>
                </c:pt>
                <c:pt idx="9">
                  <c:v>WI</c:v>
                </c:pt>
                <c:pt idx="10">
                  <c:v>IA</c:v>
                </c:pt>
                <c:pt idx="11">
                  <c:v>MA</c:v>
                </c:pt>
                <c:pt idx="12">
                  <c:v>NJ</c:v>
                </c:pt>
                <c:pt idx="13">
                  <c:v>SC</c:v>
                </c:pt>
                <c:pt idx="14">
                  <c:v>LA</c:v>
                </c:pt>
                <c:pt idx="15">
                  <c:v>MO</c:v>
                </c:pt>
                <c:pt idx="16">
                  <c:v>TN</c:v>
                </c:pt>
                <c:pt idx="17">
                  <c:v>DE</c:v>
                </c:pt>
                <c:pt idx="18">
                  <c:v>MI</c:v>
                </c:pt>
                <c:pt idx="19">
                  <c:v>NC</c:v>
                </c:pt>
                <c:pt idx="20">
                  <c:v>IL</c:v>
                </c:pt>
                <c:pt idx="21">
                  <c:v>AL</c:v>
                </c:pt>
                <c:pt idx="22">
                  <c:v>GA</c:v>
                </c:pt>
                <c:pt idx="23">
                  <c:v>TX</c:v>
                </c:pt>
                <c:pt idx="24">
                  <c:v>WV</c:v>
                </c:pt>
                <c:pt idx="25">
                  <c:v>NY</c:v>
                </c:pt>
                <c:pt idx="26">
                  <c:v>VA</c:v>
                </c:pt>
                <c:pt idx="27">
                  <c:v>KY</c:v>
                </c:pt>
                <c:pt idx="28">
                  <c:v>IN</c:v>
                </c:pt>
                <c:pt idx="29">
                  <c:v>MD</c:v>
                </c:pt>
                <c:pt idx="30">
                  <c:v>OH</c:v>
                </c:pt>
                <c:pt idx="31">
                  <c:v>PA</c:v>
                </c:pt>
              </c:strCache>
            </c:strRef>
          </c:cat>
          <c:val>
            <c:numRef>
              <c:f>'2011 State Charts'!$H$5:$H$36</c:f>
              <c:numCache>
                <c:formatCode>General</c:formatCode>
                <c:ptCount val="32"/>
                <c:pt idx="0">
                  <c:v>5.7200000000000003E-4</c:v>
                </c:pt>
                <c:pt idx="1">
                  <c:v>1.1559999999999999E-3</c:v>
                </c:pt>
                <c:pt idx="2">
                  <c:v>1.2869999999999999E-3</c:v>
                </c:pt>
                <c:pt idx="3">
                  <c:v>2.068E-3</c:v>
                </c:pt>
                <c:pt idx="4">
                  <c:v>3.6979999999999999E-3</c:v>
                </c:pt>
                <c:pt idx="5">
                  <c:v>5.1630000000000001E-3</c:v>
                </c:pt>
                <c:pt idx="6">
                  <c:v>5.7499999999999999E-3</c:v>
                </c:pt>
                <c:pt idx="7">
                  <c:v>6.6220000000000003E-3</c:v>
                </c:pt>
                <c:pt idx="8">
                  <c:v>8.9759999999999996E-3</c:v>
                </c:pt>
                <c:pt idx="9">
                  <c:v>1.0026E-2</c:v>
                </c:pt>
                <c:pt idx="10">
                  <c:v>1.0659E-2</c:v>
                </c:pt>
                <c:pt idx="11">
                  <c:v>1.1183E-2</c:v>
                </c:pt>
                <c:pt idx="12">
                  <c:v>1.4794E-2</c:v>
                </c:pt>
                <c:pt idx="13">
                  <c:v>1.9819E-2</c:v>
                </c:pt>
                <c:pt idx="14">
                  <c:v>2.0910999999999999E-2</c:v>
                </c:pt>
                <c:pt idx="15">
                  <c:v>2.2057E-2</c:v>
                </c:pt>
                <c:pt idx="16">
                  <c:v>2.3040000000000001E-2</c:v>
                </c:pt>
                <c:pt idx="17">
                  <c:v>2.5876E-2</c:v>
                </c:pt>
                <c:pt idx="18">
                  <c:v>2.6884999999999999E-2</c:v>
                </c:pt>
                <c:pt idx="19">
                  <c:v>3.0265E-2</c:v>
                </c:pt>
                <c:pt idx="20">
                  <c:v>3.1115E-2</c:v>
                </c:pt>
                <c:pt idx="21">
                  <c:v>3.4159000000000002E-2</c:v>
                </c:pt>
                <c:pt idx="22">
                  <c:v>3.5036999999999999E-2</c:v>
                </c:pt>
                <c:pt idx="23">
                  <c:v>3.9565000000000003E-2</c:v>
                </c:pt>
                <c:pt idx="24">
                  <c:v>4.0104000000000001E-2</c:v>
                </c:pt>
                <c:pt idx="25">
                  <c:v>4.4764999999999999E-2</c:v>
                </c:pt>
                <c:pt idx="26">
                  <c:v>5.0458000000000003E-2</c:v>
                </c:pt>
                <c:pt idx="27">
                  <c:v>5.1056999999999998E-2</c:v>
                </c:pt>
                <c:pt idx="28">
                  <c:v>5.4433000000000002E-2</c:v>
                </c:pt>
                <c:pt idx="29">
                  <c:v>6.2602000000000005E-2</c:v>
                </c:pt>
                <c:pt idx="30">
                  <c:v>0.122695</c:v>
                </c:pt>
                <c:pt idx="31">
                  <c:v>0.14418500000000001</c:v>
                </c:pt>
              </c:numCache>
            </c:numRef>
          </c:val>
          <c:extLst>
            <c:ext xmlns:c15="http://schemas.microsoft.com/office/drawing/2012/chart" uri="{02D57815-91ED-43cb-92C2-25804820EDAC}">
              <c15:datalabelsRange>
                <c15:f>'2011 State Charts'!$H$5:$H$36</c15:f>
                <c15:dlblRangeCache>
                  <c:ptCount val="32"/>
                  <c:pt idx="0">
                    <c:v>0.06%</c:v>
                  </c:pt>
                  <c:pt idx="1">
                    <c:v>0.12%</c:v>
                  </c:pt>
                  <c:pt idx="2">
                    <c:v>0.13%</c:v>
                  </c:pt>
                  <c:pt idx="3">
                    <c:v>0.22%</c:v>
                  </c:pt>
                  <c:pt idx="4">
                    <c:v>0.38%</c:v>
                  </c:pt>
                  <c:pt idx="5">
                    <c:v>0.54%</c:v>
                  </c:pt>
                  <c:pt idx="6">
                    <c:v>0.60%</c:v>
                  </c:pt>
                  <c:pt idx="7">
                    <c:v>0.69%</c:v>
                  </c:pt>
                  <c:pt idx="8">
                    <c:v>0.93%</c:v>
                  </c:pt>
                  <c:pt idx="9">
                    <c:v>1.04%</c:v>
                  </c:pt>
                  <c:pt idx="10">
                    <c:v>1.11%</c:v>
                  </c:pt>
                  <c:pt idx="11">
                    <c:v>1.16%</c:v>
                  </c:pt>
                  <c:pt idx="12">
                    <c:v>1.54%</c:v>
                  </c:pt>
                  <c:pt idx="13">
                    <c:v>2.06%</c:v>
                  </c:pt>
                  <c:pt idx="14">
                    <c:v>2.18%</c:v>
                  </c:pt>
                  <c:pt idx="15">
                    <c:v>2.30%</c:v>
                  </c:pt>
                  <c:pt idx="16">
                    <c:v>2.40%</c:v>
                  </c:pt>
                  <c:pt idx="17">
                    <c:v>2.69%</c:v>
                  </c:pt>
                  <c:pt idx="18">
                    <c:v>2.80%</c:v>
                  </c:pt>
                  <c:pt idx="19">
                    <c:v>3.15%</c:v>
                  </c:pt>
                  <c:pt idx="20">
                    <c:v>3.24%</c:v>
                  </c:pt>
                  <c:pt idx="21">
                    <c:v>3.55%</c:v>
                  </c:pt>
                  <c:pt idx="22">
                    <c:v>3.65%</c:v>
                  </c:pt>
                  <c:pt idx="23">
                    <c:v>4.12%</c:v>
                  </c:pt>
                  <c:pt idx="24">
                    <c:v>4.17%</c:v>
                  </c:pt>
                  <c:pt idx="25">
                    <c:v>4.66%</c:v>
                  </c:pt>
                  <c:pt idx="26">
                    <c:v>5.25%</c:v>
                  </c:pt>
                  <c:pt idx="27">
                    <c:v>5.31%</c:v>
                  </c:pt>
                  <c:pt idx="28">
                    <c:v>5.66%</c:v>
                  </c:pt>
                  <c:pt idx="29">
                    <c:v>6.51%</c:v>
                  </c:pt>
                  <c:pt idx="30">
                    <c:v>12.77%</c:v>
                  </c:pt>
                  <c:pt idx="31">
                    <c:v>15.00%</c:v>
                  </c:pt>
                </c15:dlblRangeCache>
              </c15:datalabelsRange>
            </c:ext>
          </c:extLst>
        </c:ser>
        <c:dLbls>
          <c:showLegendKey val="0"/>
          <c:showVal val="0"/>
          <c:showCatName val="0"/>
          <c:showSerName val="0"/>
          <c:showPercent val="0"/>
          <c:showBubbleSize val="0"/>
        </c:dLbls>
        <c:gapWidth val="150"/>
        <c:axId val="433182720"/>
        <c:axId val="433183112"/>
      </c:barChart>
      <c:catAx>
        <c:axId val="433182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83112"/>
        <c:crosses val="autoZero"/>
        <c:auto val="1"/>
        <c:lblAlgn val="ctr"/>
        <c:lblOffset val="100"/>
        <c:noMultiLvlLbl val="0"/>
      </c:catAx>
      <c:valAx>
        <c:axId val="433183112"/>
        <c:scaling>
          <c:orientation val="minMax"/>
          <c:max val="0.1500000000000000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a:pPr>
                <a:r>
                  <a:rPr lang="en-US"/>
                  <a:t>Sulfate</a:t>
                </a:r>
                <a:r>
                  <a:rPr lang="en-US" baseline="0"/>
                  <a:t> Contributions (</a:t>
                </a:r>
                <a:r>
                  <a:rPr lang="el-GR" sz="1000" b="1" i="0" u="none" strike="noStrike" baseline="0">
                    <a:effectLst/>
                  </a:rPr>
                  <a:t>μ</a:t>
                </a:r>
                <a:r>
                  <a:rPr lang="en-US" sz="1000" b="1" i="0" u="none" strike="noStrike" baseline="0">
                    <a:effectLst/>
                  </a:rPr>
                  <a:t>g/m</a:t>
                </a:r>
                <a:r>
                  <a:rPr lang="en-US" sz="1000" b="1" i="0" u="none" strike="noStrike" baseline="30000">
                    <a:effectLst/>
                  </a:rPr>
                  <a:t>3</a:t>
                </a:r>
                <a:r>
                  <a:rPr lang="en-US" baseline="0"/>
                  <a:t>)</a:t>
                </a:r>
                <a:endParaRPr lang="en-US"/>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8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draftQdC2018SCCStateSummary - 160330.xlsx]2018 State Charts!PivotTable8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2018</a:t>
            </a:r>
            <a:endParaRPr lang="en-US"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E74DA8F-3EF9-4759-93A9-CCC84DA17C8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72766B0-1967-4992-B8EA-36F3BD68723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82EF6E0-2421-4602-BDC6-907534299CB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7284B99-AABE-41BD-A145-27EA2A8812B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7059A0-C502-415D-A04C-F2A2309EFF2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73761AE-D936-424E-AA77-FBF6E520125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B4C410D-B931-4E89-B371-567026ED941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4F996A2-171A-4CDF-9E4B-38E2E68C447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AADEE35-AC6E-440B-B128-12D54136D7C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8C5467-D59A-4438-9C94-7298A7B2731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BB0657F-70D6-4BC8-8DEC-0616A120C99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920C7F2-9669-443B-B60A-3E96B688D42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4DE1D4C-BC8A-4042-A59E-2A0A600FACA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C89A771-E322-4810-A3A1-11630A734B9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8FD9B48-AA8C-4404-9C7C-02A5391C402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A67D5F3-3AC6-4058-A36E-2C95337564A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8590FE-A0A7-46DE-B58F-9D51A8EB14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846CD05-6AF3-40DD-8956-821DC6B0070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52DF6CE-68F6-4263-85DF-3AB2B3BE245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66FD4E5-1AC7-4394-8573-276F67F2CC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23389F6-5772-495E-8DB2-98ED3E7FA5A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C4B13EE-B23A-4D50-9A92-FA1E30E222E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6A31EAA-95C4-4557-90C5-6D8A1688FB3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8190580-67B7-41F2-8DDC-5CDAB4848B4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514C4D6-7B5A-47A7-953D-29DF72303D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AC738C2-0F35-47CD-8012-7E5B342A44F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71D9596-360A-47B5-8C96-2475DEEBE8E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8403A01-2194-42D0-A588-C4D5C5CE7F7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2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5C41A2F-EE76-4E13-92B0-3128C4D9177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D419F03-9254-47A8-9BDD-693E19321B9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7264068-1C3B-483D-B3F8-81518A46508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C30FF09-EFFD-4AE3-98B4-349F954BE53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DCB65EB-D1E2-46EC-980A-0CC143919B3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0B6A6F8-A31B-4EB1-B2B2-DEC5D961E0F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17AD9D4-1A1C-498E-9FE2-70D79642885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E9FB8F2-4367-4049-BEB6-75425BED0F1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AC3CBA3-1126-495B-84B3-8393C6196E9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AEF75C-395C-4234-B70C-5F96329374E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3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C845B64-AD3B-4DBA-84FD-1D3A18124DC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4685F59-228B-428F-89BA-C8A1DE8499E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E7EC9E0-784B-4C39-A5CF-1F4FB0C4A2C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C3CFAC9-F2A3-4F8A-A7F6-07D5C2E821B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727E7A4-1A03-4642-B84A-759370C2334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F58188D-A01A-4629-B5A6-E7A514DF919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D31B428-93DD-4C86-B9BB-9B1D7A741FF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5038945-5B07-40EB-96C6-CBB1C6C83EB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2B0B8AF-1CF7-4641-AE89-1D470DDFFA3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F9A4DBD-936A-494F-B026-5FAAD29417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4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98682B1-238C-4E64-97FA-CCA39B084DB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1FDA354-F0C6-4327-8DA0-BCAD5A7DBCE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E79944D-CEFE-4E9C-B362-74E2A7F0E5B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FE20586-54A6-4E48-B360-0235319835D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EF2EE3D-30AB-4332-8469-AA53D159F4F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F8510D3-6139-4A95-A5D4-3141C2EF2DE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90C7CF8-5A95-413B-8648-66023BC40ED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A3FC8B1-566B-48A1-8A31-FC23CE79DC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192BEF3-A892-44D2-BE79-5C3327CD78C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00E1F4E-1473-47C4-8E49-A3EEEFB5AB2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5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D01B062-6305-4C82-9393-1250C6612CF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195964E-0EBC-4005-BD57-40E9C857229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D7BDA47-2171-4A86-A042-FB6E5B22F66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53AEAE-2FD1-4B87-A339-DCC03E9F7F1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20ED2C4-0D0C-44FE-A226-4E7D0B7D818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352D0A-3B05-411E-B5A4-3746C913582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5"/>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F471F1-07C5-47BB-9A54-F664755D33C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D8C50A-DE9B-4684-9CB2-84A4262C271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A1B0771-5A02-490C-9F17-91571BA51C7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6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3B4984-3259-489B-8FF3-34D5BE9C74E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2AC59D7-6F6B-4E1D-9573-EE1887EB188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CDF9EEC-8D09-4674-8815-F4BC22B7A60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035DB04-5A0A-4DC4-BEE3-153AE87D987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5E22C4C-38C0-484A-9101-AA043555D82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28BADBF-68EC-441E-9E7D-3550B840A7A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7658F5D-F2D1-45CB-8EE4-AB373BAB263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ED675DA-1B30-4A6B-9767-75070E33F96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2058B80-6175-40BC-8B69-91920C6C420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C60904B-9BCA-42FA-B846-B4A2DBD4CA9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7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222EDD6-B9E7-4A4E-84C7-3D3CE6A0DB7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D73BDA5-577A-4668-987E-C300D2D190B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C813E8B-29BD-42EF-80F4-78B74291C0C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C3D63D3-66BE-4443-A6F3-41D233A1271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3D0A289-86D5-47D8-AC8A-7B4F40F3D28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3420B13-D77F-414B-B26C-9171AE1B218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C4C8122-02C9-473E-B807-6A0E920A7F2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9298DFC-ECA1-46FD-A862-17C85497FE8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BC84FB7-69C5-4FCE-ABCC-6CBC72EB86E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B593292F-2F61-4EA1-95BF-24CDD277D11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8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5240777-86AF-4A84-A412-F12E56E30B5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2AD0A39-F0C3-4BEA-BB4C-EA15162CBEF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CBBF851-59FB-497B-B2A3-AAF9F163D55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7137823-C3FB-4F2B-BE9F-54F1A0A2855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362EFE1-3C2B-44A8-B2A7-83FB270D6C0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BBAF42A-79A8-4E9E-9A3E-AF049982D30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E99FDAF-5489-48ED-812A-E09FE54A4A1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8F81B1C-4848-44A0-B868-211BA900299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87EF278-AF8D-45BC-8A16-379359B28FD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98"/>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3734FCD-29AE-46D9-BED7-8A4F5FF086B1}"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323B80F-A88D-4FED-9916-CC6E602ADC7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AA798A6-C764-4DEC-A768-5ED490CF9DE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19A9A52-62C9-4C08-B516-7C88266C286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71F2E9B-3C72-4E48-AAC6-A7901A2802C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E9806D9-2458-4A2D-8F19-0DEC6C7DC3F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BAD58DF-CDB1-4605-814C-BE16C7A591E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D2544F6-6F68-4E06-B86C-B354EF327E7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1FD86F5-0675-44B1-BE0D-6C62148E8C38}"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BF97B01-7C6A-4817-9476-1C3E7B304F7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0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670AF87-21FC-45A1-AC6C-9986EC464CA9}"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D9058AD-7D2A-48FE-9C98-CE30A74C1317}"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9C11E8C-579E-43DE-B438-4BC9B628C9A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4A533AB-7E9F-4010-A665-1C7217DF7A9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1036478-4334-4773-A796-00B2745C83C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D92A004-E9AE-465A-B3EC-4CD0EA321E12}"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25269E3-DCBF-4AB8-9E96-0DA82A0E1530}"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518E6B0-D75A-4C4B-A360-BC795C839EB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64A80FC-E9A0-4371-A142-B2572950821D}"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EDE9059-A706-42E7-810E-131F437D2D0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1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3850208-BE0F-4A27-BE38-EEC35620DB6B}"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20965AA-059E-4206-A5A6-5370FAC059F6}"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1"/>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BD50989-7B45-40E0-A6E4-579871B6FF1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2"/>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FA0FAC6-9206-4F33-8907-6D9DCAE63C4A}"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3"/>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48DB42F-53D9-4F47-A0AC-B7A42D19A28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4"/>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BD1393-D184-4338-8AAA-E1EF918FB48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5"/>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E3555EFA-D938-4097-85C0-63C9D90F01C5}"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6"/>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F7315A-9CB3-4B6C-A5AA-A312F7084D04}"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7"/>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D7EB115-A596-4293-83DD-B151CDDEFEDF}"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8"/>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6581135-F336-44D9-AFE4-DF1927983C8C}"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29"/>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C8E5B03-0CFB-436D-BCB3-7DB989E77293}"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
        <c:idx val="130"/>
        <c:spPr>
          <a:solidFill>
            <a:schemeClr val="accent2"/>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F1520E2-E6B3-42F2-90CA-5BEEE2CF91FE}" type="CELLRANGE">
                  <a:rPr lang="en-US"/>
                  <a:pPr>
                    <a:defRPr sz="900" b="0" i="0" u="none" strike="noStrike" kern="1200" baseline="0">
                      <a:solidFill>
                        <a:schemeClr val="tx1">
                          <a:lumMod val="75000"/>
                          <a:lumOff val="25000"/>
                        </a:schemeClr>
                      </a:solidFill>
                      <a:latin typeface="+mn-lt"/>
                      <a:ea typeface="+mn-ea"/>
                      <a:cs typeface="+mn-cs"/>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pivotFmt>
    </c:pivotFmts>
    <c:plotArea>
      <c:layout/>
      <c:barChart>
        <c:barDir val="bar"/>
        <c:grouping val="clustered"/>
        <c:varyColors val="0"/>
        <c:ser>
          <c:idx val="0"/>
          <c:order val="0"/>
          <c:tx>
            <c:strRef>
              <c:f>'2018 State Charts'!$V$4</c:f>
              <c:strCache>
                <c:ptCount val="1"/>
                <c:pt idx="0">
                  <c:v>Total</c:v>
                </c:pt>
              </c:strCache>
            </c:strRef>
          </c:tx>
          <c:spPr>
            <a:solidFill>
              <a:schemeClr val="accent2"/>
            </a:solidFill>
            <a:ln>
              <a:noFill/>
            </a:ln>
            <a:effectLst/>
          </c:spPr>
          <c:invertIfNegative val="0"/>
          <c:dLbls>
            <c:dLbl>
              <c:idx val="0"/>
              <c:layout/>
              <c:tx>
                <c:rich>
                  <a:bodyPr/>
                  <a:lstStyle/>
                  <a:p>
                    <a:fld id="{808FAAFB-BF5C-41D3-BAEE-94DD288112E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a:lstStyle/>
                  <a:p>
                    <a:fld id="{D3AD3BA6-45D1-43BF-9BD7-BDC18493A29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4B103278-7A8F-4F33-8709-8D8F42F40A0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1A981B01-D5C2-48AA-B636-27D1E163B24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E0620A26-5229-4D02-9DF3-EAF9F9F7F29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CD934FF9-F550-410F-9D33-B3578BC9DD2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FA4A6580-0164-4DD9-82B1-80F2C1F7AE0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BAB5ADC6-1B43-4391-992F-1565DFA9FA4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tx>
                <c:rich>
                  <a:bodyPr/>
                  <a:lstStyle/>
                  <a:p>
                    <a:fld id="{A3907F5C-5F7C-4D84-B6A7-0570A59A65D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9"/>
              <c:layout/>
              <c:tx>
                <c:rich>
                  <a:bodyPr/>
                  <a:lstStyle/>
                  <a:p>
                    <a:fld id="{A33B34AB-C9F0-4F61-A219-A1A7B1E032C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0"/>
              <c:layout/>
              <c:tx>
                <c:rich>
                  <a:bodyPr/>
                  <a:lstStyle/>
                  <a:p>
                    <a:fld id="{AA9E4F18-905B-4E4D-8C64-8F1234D81F1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1"/>
              <c:layout/>
              <c:tx>
                <c:rich>
                  <a:bodyPr/>
                  <a:lstStyle/>
                  <a:p>
                    <a:fld id="{9FD8E79B-76BB-4579-9AF6-D92C463D7CC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2"/>
              <c:layout/>
              <c:tx>
                <c:rich>
                  <a:bodyPr/>
                  <a:lstStyle/>
                  <a:p>
                    <a:fld id="{213D5696-3E0E-454D-BD59-43DE8D3F88C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3"/>
              <c:layout/>
              <c:tx>
                <c:rich>
                  <a:bodyPr/>
                  <a:lstStyle/>
                  <a:p>
                    <a:fld id="{37341342-7CC7-4433-AB22-329700960AA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4"/>
              <c:layout/>
              <c:tx>
                <c:rich>
                  <a:bodyPr/>
                  <a:lstStyle/>
                  <a:p>
                    <a:fld id="{FE18D8CB-4D6D-4E28-8C0A-D06F73105D4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5"/>
              <c:layout/>
              <c:tx>
                <c:rich>
                  <a:bodyPr/>
                  <a:lstStyle/>
                  <a:p>
                    <a:fld id="{2FA5809C-0E83-4098-A6E4-E5CFF144DF2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6"/>
              <c:layout/>
              <c:tx>
                <c:rich>
                  <a:bodyPr/>
                  <a:lstStyle/>
                  <a:p>
                    <a:fld id="{84647649-305B-4B80-9985-9316E54551F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7"/>
              <c:layout/>
              <c:tx>
                <c:rich>
                  <a:bodyPr/>
                  <a:lstStyle/>
                  <a:p>
                    <a:fld id="{DE97E8AB-06CC-4364-B52B-BA36C12A03C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8"/>
              <c:layout/>
              <c:tx>
                <c:rich>
                  <a:bodyPr/>
                  <a:lstStyle/>
                  <a:p>
                    <a:fld id="{88D4E068-791C-4343-860D-98C916A1940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9"/>
              <c:layout/>
              <c:tx>
                <c:rich>
                  <a:bodyPr/>
                  <a:lstStyle/>
                  <a:p>
                    <a:fld id="{230ABA4E-A7CC-452A-AB7D-A3E815E4E46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0"/>
              <c:layout/>
              <c:tx>
                <c:rich>
                  <a:bodyPr/>
                  <a:lstStyle/>
                  <a:p>
                    <a:fld id="{DAC14E22-FA7B-4494-A150-A5C7841BD09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1"/>
              <c:layout/>
              <c:tx>
                <c:rich>
                  <a:bodyPr/>
                  <a:lstStyle/>
                  <a:p>
                    <a:fld id="{B99507F5-63BC-423E-84D4-F43D659B7D1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2"/>
              <c:layout/>
              <c:tx>
                <c:rich>
                  <a:bodyPr/>
                  <a:lstStyle/>
                  <a:p>
                    <a:fld id="{B85E5780-0565-4CEA-AA6A-41606974EB4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3"/>
              <c:layout/>
              <c:tx>
                <c:rich>
                  <a:bodyPr/>
                  <a:lstStyle/>
                  <a:p>
                    <a:fld id="{0DE827C9-E425-4E0C-8070-FAC38196827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4"/>
              <c:layout/>
              <c:tx>
                <c:rich>
                  <a:bodyPr/>
                  <a:lstStyle/>
                  <a:p>
                    <a:fld id="{F41BA9FA-E648-419B-BDB4-9D8BA9CB448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5"/>
              <c:layout/>
              <c:tx>
                <c:rich>
                  <a:bodyPr/>
                  <a:lstStyle/>
                  <a:p>
                    <a:fld id="{6D975171-FDC2-422F-9E44-8717D541D7C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6"/>
              <c:layout/>
              <c:tx>
                <c:rich>
                  <a:bodyPr/>
                  <a:lstStyle/>
                  <a:p>
                    <a:fld id="{0B6F7F70-BDC8-4869-B671-68A65AC5449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7"/>
              <c:layout/>
              <c:tx>
                <c:rich>
                  <a:bodyPr/>
                  <a:lstStyle/>
                  <a:p>
                    <a:fld id="{1B7598B2-EA8F-4BE4-9E77-DA9E79EAF6F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8"/>
              <c:layout/>
              <c:tx>
                <c:rich>
                  <a:bodyPr/>
                  <a:lstStyle/>
                  <a:p>
                    <a:fld id="{E6F78CBF-5991-4450-80E0-1B96879B6A2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9"/>
              <c:layout/>
              <c:tx>
                <c:rich>
                  <a:bodyPr/>
                  <a:lstStyle/>
                  <a:p>
                    <a:fld id="{D3DA33DF-FB52-4C0D-BF4F-E0E90D105DB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0"/>
              <c:layout/>
              <c:tx>
                <c:rich>
                  <a:bodyPr/>
                  <a:lstStyle/>
                  <a:p>
                    <a:fld id="{F316FCCC-019C-4321-BFEA-F5DD725C372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1"/>
              <c:layout/>
              <c:tx>
                <c:rich>
                  <a:bodyPr/>
                  <a:lstStyle/>
                  <a:p>
                    <a:fld id="{9D44678F-C150-4EB2-994A-40E16DD82D5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'2018 State Charts'!$X$5:$X$36</c:f>
              <c:strCache>
                <c:ptCount val="32"/>
                <c:pt idx="0">
                  <c:v>RI</c:v>
                </c:pt>
                <c:pt idx="1">
                  <c:v>VT</c:v>
                </c:pt>
                <c:pt idx="2">
                  <c:v>DC</c:v>
                </c:pt>
                <c:pt idx="3">
                  <c:v>ME</c:v>
                </c:pt>
                <c:pt idx="4">
                  <c:v>CT</c:v>
                </c:pt>
                <c:pt idx="5">
                  <c:v>DE</c:v>
                </c:pt>
                <c:pt idx="6">
                  <c:v>MA</c:v>
                </c:pt>
                <c:pt idx="7">
                  <c:v>NH</c:v>
                </c:pt>
                <c:pt idx="8">
                  <c:v>NJ</c:v>
                </c:pt>
                <c:pt idx="9">
                  <c:v>SC</c:v>
                </c:pt>
                <c:pt idx="10">
                  <c:v>GA</c:v>
                </c:pt>
                <c:pt idx="11">
                  <c:v>MN</c:v>
                </c:pt>
                <c:pt idx="12">
                  <c:v>IA</c:v>
                </c:pt>
                <c:pt idx="13">
                  <c:v>VA</c:v>
                </c:pt>
                <c:pt idx="14">
                  <c:v>MS</c:v>
                </c:pt>
                <c:pt idx="15">
                  <c:v>NC</c:v>
                </c:pt>
                <c:pt idx="16">
                  <c:v>WI</c:v>
                </c:pt>
                <c:pt idx="17">
                  <c:v>TN</c:v>
                </c:pt>
                <c:pt idx="18">
                  <c:v>AL</c:v>
                </c:pt>
                <c:pt idx="19">
                  <c:v>AR</c:v>
                </c:pt>
                <c:pt idx="20">
                  <c:v>LA</c:v>
                </c:pt>
                <c:pt idx="21">
                  <c:v>MD</c:v>
                </c:pt>
                <c:pt idx="22">
                  <c:v>NY</c:v>
                </c:pt>
                <c:pt idx="23">
                  <c:v>WV</c:v>
                </c:pt>
                <c:pt idx="24">
                  <c:v>IL</c:v>
                </c:pt>
                <c:pt idx="25">
                  <c:v>KY</c:v>
                </c:pt>
                <c:pt idx="26">
                  <c:v>MI</c:v>
                </c:pt>
                <c:pt idx="27">
                  <c:v>MO</c:v>
                </c:pt>
                <c:pt idx="28">
                  <c:v>IN</c:v>
                </c:pt>
                <c:pt idx="29">
                  <c:v>TX</c:v>
                </c:pt>
                <c:pt idx="30">
                  <c:v>OH</c:v>
                </c:pt>
                <c:pt idx="31">
                  <c:v>PA</c:v>
                </c:pt>
              </c:strCache>
            </c:strRef>
          </c:cat>
          <c:val>
            <c:numRef>
              <c:f>'2018 State Charts'!$X$5:$X$36</c:f>
              <c:numCache>
                <c:formatCode>General</c:formatCode>
                <c:ptCount val="32"/>
                <c:pt idx="0">
                  <c:v>1.111711729082801E-4</c:v>
                </c:pt>
                <c:pt idx="1">
                  <c:v>1.3245007930065444E-4</c:v>
                </c:pt>
                <c:pt idx="2">
                  <c:v>1.4508329812405776E-4</c:v>
                </c:pt>
                <c:pt idx="3">
                  <c:v>1.6180891108601701E-4</c:v>
                </c:pt>
                <c:pt idx="4">
                  <c:v>2.6260593333498727E-4</c:v>
                </c:pt>
                <c:pt idx="5">
                  <c:v>4.2319220613585618E-4</c:v>
                </c:pt>
                <c:pt idx="6">
                  <c:v>7.5667658483247961E-4</c:v>
                </c:pt>
                <c:pt idx="7">
                  <c:v>8.1809273342818339E-4</c:v>
                </c:pt>
                <c:pt idx="8">
                  <c:v>8.7940618104315974E-4</c:v>
                </c:pt>
                <c:pt idx="9">
                  <c:v>2.9253326049110242E-3</c:v>
                </c:pt>
                <c:pt idx="10">
                  <c:v>3.4581061738558866E-3</c:v>
                </c:pt>
                <c:pt idx="11">
                  <c:v>3.5146035211510739E-3</c:v>
                </c:pt>
                <c:pt idx="12">
                  <c:v>3.5667611879493994E-3</c:v>
                </c:pt>
                <c:pt idx="13">
                  <c:v>4.2142782206029128E-3</c:v>
                </c:pt>
                <c:pt idx="14">
                  <c:v>5.131796354032798E-3</c:v>
                </c:pt>
                <c:pt idx="15">
                  <c:v>5.4129454918053635E-3</c:v>
                </c:pt>
                <c:pt idx="16">
                  <c:v>5.4314866639971369E-3</c:v>
                </c:pt>
                <c:pt idx="17">
                  <c:v>7.0358350942166335E-3</c:v>
                </c:pt>
                <c:pt idx="18">
                  <c:v>7.3082724961289073E-3</c:v>
                </c:pt>
                <c:pt idx="19">
                  <c:v>8.4847730992142992E-3</c:v>
                </c:pt>
                <c:pt idx="20">
                  <c:v>9.4791957322575039E-3</c:v>
                </c:pt>
                <c:pt idx="21">
                  <c:v>1.2200883252927798E-2</c:v>
                </c:pt>
                <c:pt idx="22">
                  <c:v>1.4329988116655581E-2</c:v>
                </c:pt>
                <c:pt idx="23">
                  <c:v>1.4404799967584227E-2</c:v>
                </c:pt>
                <c:pt idx="24">
                  <c:v>1.534182118329837E-2</c:v>
                </c:pt>
                <c:pt idx="25">
                  <c:v>1.8675343297434765E-2</c:v>
                </c:pt>
                <c:pt idx="26">
                  <c:v>1.9128616274859695E-2</c:v>
                </c:pt>
                <c:pt idx="27">
                  <c:v>2.0491248263172248E-2</c:v>
                </c:pt>
                <c:pt idx="28">
                  <c:v>2.2326577846442961E-2</c:v>
                </c:pt>
                <c:pt idx="29">
                  <c:v>2.7834168313812375E-2</c:v>
                </c:pt>
                <c:pt idx="30">
                  <c:v>3.6401973390626195E-2</c:v>
                </c:pt>
                <c:pt idx="31">
                  <c:v>5.0590141735833406E-2</c:v>
                </c:pt>
              </c:numCache>
            </c:numRef>
          </c:val>
          <c:extLst>
            <c:ext xmlns:c15="http://schemas.microsoft.com/office/drawing/2012/chart" uri="{02D57815-91ED-43cb-92C2-25804820EDAC}">
              <c15:datalabelsRange>
                <c15:f>'2018 State Charts'!$X$5:$X$36</c15:f>
                <c15:dlblRangeCache>
                  <c:ptCount val="32"/>
                  <c:pt idx="0">
                    <c:v>0.03%</c:v>
                  </c:pt>
                  <c:pt idx="1">
                    <c:v>0.04%</c:v>
                  </c:pt>
                  <c:pt idx="2">
                    <c:v>0.05%</c:v>
                  </c:pt>
                  <c:pt idx="3">
                    <c:v>0.05%</c:v>
                  </c:pt>
                  <c:pt idx="4">
                    <c:v>0.08%</c:v>
                  </c:pt>
                  <c:pt idx="5">
                    <c:v>0.13%</c:v>
                  </c:pt>
                  <c:pt idx="6">
                    <c:v>0.24%</c:v>
                  </c:pt>
                  <c:pt idx="7">
                    <c:v>0.25%</c:v>
                  </c:pt>
                  <c:pt idx="8">
                    <c:v>0.27%</c:v>
                  </c:pt>
                  <c:pt idx="9">
                    <c:v>0.91%</c:v>
                  </c:pt>
                  <c:pt idx="10">
                    <c:v>1.08%</c:v>
                  </c:pt>
                  <c:pt idx="11">
                    <c:v>1.09%</c:v>
                  </c:pt>
                  <c:pt idx="12">
                    <c:v>1.11%</c:v>
                  </c:pt>
                  <c:pt idx="13">
                    <c:v>1.31%</c:v>
                  </c:pt>
                  <c:pt idx="14">
                    <c:v>1.60%</c:v>
                  </c:pt>
                  <c:pt idx="15">
                    <c:v>1.68%</c:v>
                  </c:pt>
                  <c:pt idx="16">
                    <c:v>1.69%</c:v>
                  </c:pt>
                  <c:pt idx="17">
                    <c:v>2.19%</c:v>
                  </c:pt>
                  <c:pt idx="18">
                    <c:v>2.27%</c:v>
                  </c:pt>
                  <c:pt idx="19">
                    <c:v>2.64%</c:v>
                  </c:pt>
                  <c:pt idx="20">
                    <c:v>2.95%</c:v>
                  </c:pt>
                  <c:pt idx="21">
                    <c:v>3.80%</c:v>
                  </c:pt>
                  <c:pt idx="22">
                    <c:v>4.46%</c:v>
                  </c:pt>
                  <c:pt idx="23">
                    <c:v>4.48%</c:v>
                  </c:pt>
                  <c:pt idx="24">
                    <c:v>4.77%</c:v>
                  </c:pt>
                  <c:pt idx="25">
                    <c:v>5.81%</c:v>
                  </c:pt>
                  <c:pt idx="26">
                    <c:v>5.95%</c:v>
                  </c:pt>
                  <c:pt idx="27">
                    <c:v>6.38%</c:v>
                  </c:pt>
                  <c:pt idx="28">
                    <c:v>6.95%</c:v>
                  </c:pt>
                  <c:pt idx="29">
                    <c:v>8.66%</c:v>
                  </c:pt>
                  <c:pt idx="30">
                    <c:v>11.33%</c:v>
                  </c:pt>
                  <c:pt idx="31">
                    <c:v>15.74%</c:v>
                  </c:pt>
                </c15:dlblRangeCache>
              </c15:datalabelsRange>
            </c:ext>
          </c:extLst>
        </c:ser>
        <c:dLbls>
          <c:dLblPos val="outEnd"/>
          <c:showLegendKey val="0"/>
          <c:showVal val="1"/>
          <c:showCatName val="0"/>
          <c:showSerName val="0"/>
          <c:showPercent val="0"/>
          <c:showBubbleSize val="0"/>
        </c:dLbls>
        <c:gapWidth val="182"/>
        <c:axId val="433183896"/>
        <c:axId val="430355560"/>
      </c:barChart>
      <c:catAx>
        <c:axId val="433183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355560"/>
        <c:crosses val="autoZero"/>
        <c:auto val="1"/>
        <c:lblAlgn val="ctr"/>
        <c:lblOffset val="100"/>
        <c:noMultiLvlLbl val="0"/>
      </c:catAx>
      <c:valAx>
        <c:axId val="430355560"/>
        <c:scaling>
          <c:orientation val="minMax"/>
          <c:max val="0.1500000000000000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Sulfate Contributions (</a:t>
                </a:r>
                <a:r>
                  <a:rPr lang="el-GR" sz="1000" b="1" i="0" u="none" strike="noStrike" baseline="0">
                    <a:effectLst/>
                  </a:rPr>
                  <a:t>μ</a:t>
                </a:r>
                <a:r>
                  <a:rPr lang="en-US" sz="1000" b="1" i="0" u="none" strike="noStrike" baseline="0">
                    <a:effectLst/>
                  </a:rPr>
                  <a:t>g/m</a:t>
                </a:r>
                <a:r>
                  <a:rPr lang="en-US" sz="1000" b="1" i="0" u="none" strike="noStrike" baseline="30000">
                    <a:effectLst/>
                  </a:rPr>
                  <a:t>3</a:t>
                </a:r>
                <a:r>
                  <a:rPr lang="en-US" b="1"/>
                  <a:t>)</a:t>
                </a:r>
              </a:p>
            </c:rich>
          </c:tx>
          <c:layout>
            <c:manualLayout>
              <c:xMode val="edge"/>
              <c:yMode val="edge"/>
              <c:x val="0.22849050118735159"/>
              <c:y val="0.9596679597287237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83896"/>
        <c:crosses val="autoZero"/>
        <c:crossBetween val="between"/>
        <c:min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7406AF5EF604CF0AA4562282BDCF3C8"/>
        <w:category>
          <w:name w:val="General"/>
          <w:gallery w:val="placeholder"/>
        </w:category>
        <w:types>
          <w:type w:val="bbPlcHdr"/>
        </w:types>
        <w:behaviors>
          <w:behavior w:val="content"/>
        </w:behaviors>
        <w:guid w:val="{137BAE65-2606-4FC1-88BB-D13B4966348E}"/>
      </w:docPartPr>
      <w:docPartBody>
        <w:p w:rsidR="004459D1" w:rsidRDefault="001111EF" w:rsidP="001111EF">
          <w:pPr>
            <w:pStyle w:val="37406AF5EF604CF0AA4562282BDCF3C8"/>
          </w:pPr>
          <w:r>
            <w:rPr>
              <w:rFonts w:asciiTheme="majorHAnsi" w:eastAsiaTheme="majorEastAsia" w:hAnsiTheme="majorHAnsi" w:cstheme="majorBidi"/>
              <w:sz w:val="80"/>
              <w:szCs w:val="80"/>
            </w:rPr>
            <w:t>[Type the document title]</w:t>
          </w:r>
        </w:p>
      </w:docPartBody>
    </w:docPart>
    <w:docPart>
      <w:docPartPr>
        <w:name w:val="51D102A7063045CF9B941B33784E665A"/>
        <w:category>
          <w:name w:val="General"/>
          <w:gallery w:val="placeholder"/>
        </w:category>
        <w:types>
          <w:type w:val="bbPlcHdr"/>
        </w:types>
        <w:behaviors>
          <w:behavior w:val="content"/>
        </w:behaviors>
        <w:guid w:val="{CEE352D7-9C8C-4A28-BC8B-4A2A26FD06C3}"/>
      </w:docPartPr>
      <w:docPartBody>
        <w:p w:rsidR="004459D1" w:rsidRDefault="001111EF" w:rsidP="001111EF">
          <w:pPr>
            <w:pStyle w:val="51D102A7063045CF9B941B33784E665A"/>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1EF"/>
    <w:rsid w:val="000432E4"/>
    <w:rsid w:val="001111EF"/>
    <w:rsid w:val="003E15D3"/>
    <w:rsid w:val="004459D1"/>
    <w:rsid w:val="004775EB"/>
    <w:rsid w:val="004B5600"/>
    <w:rsid w:val="007B45FC"/>
    <w:rsid w:val="007C70CB"/>
    <w:rsid w:val="008054CB"/>
    <w:rsid w:val="009E28BB"/>
    <w:rsid w:val="00A94156"/>
    <w:rsid w:val="00B449BC"/>
    <w:rsid w:val="00CD266A"/>
    <w:rsid w:val="00D71B2D"/>
    <w:rsid w:val="00DA593C"/>
    <w:rsid w:val="00FC6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11EF"/>
    <w:rPr>
      <w:color w:val="808080"/>
    </w:rPr>
  </w:style>
  <w:style w:type="paragraph" w:customStyle="1" w:styleId="08A9E61942B343F2A01E3428C5A6DC37">
    <w:name w:val="08A9E61942B343F2A01E3428C5A6DC37"/>
    <w:rsid w:val="001111EF"/>
  </w:style>
  <w:style w:type="paragraph" w:customStyle="1" w:styleId="37406AF5EF604CF0AA4562282BDCF3C8">
    <w:name w:val="37406AF5EF604CF0AA4562282BDCF3C8"/>
    <w:rsid w:val="001111EF"/>
  </w:style>
  <w:style w:type="paragraph" w:customStyle="1" w:styleId="51D102A7063045CF9B941B33784E665A">
    <w:name w:val="51D102A7063045CF9B941B33784E665A"/>
    <w:rsid w:val="001111EF"/>
  </w:style>
  <w:style w:type="paragraph" w:customStyle="1" w:styleId="53E13CF6B02B49D09D0877B7FA45B1CD">
    <w:name w:val="53E13CF6B02B49D09D0877B7FA45B1CD"/>
    <w:rsid w:val="001111EF"/>
  </w:style>
  <w:style w:type="paragraph" w:customStyle="1" w:styleId="C3CD660DC3DD4F72B3B856787F08F51B">
    <w:name w:val="C3CD660DC3DD4F72B3B856787F08F51B"/>
    <w:rsid w:val="001111EF"/>
  </w:style>
  <w:style w:type="paragraph" w:customStyle="1" w:styleId="695384E0C1D34032B031CEA3B2038D40">
    <w:name w:val="695384E0C1D34032B031CEA3B2038D40"/>
    <w:rsid w:val="001111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32C25B-309B-43B9-AEE4-A9F6BA32D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3321</Words>
  <Characters>18934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Q/d*C</vt:lpstr>
    </vt:vector>
  </TitlesOfParts>
  <Company>Mid-Atlantic/Northeast Visibility Union (MANE-VU)</Company>
  <LinksUpToDate>false</LinksUpToDate>
  <CharactersWithSpaces>22211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Q/d*C</dc:title>
  <dc:subject>MANE-VU Updated Contribution Assessment</dc:subject>
  <dc:creator>MANE-VU</dc:creator>
  <cp:lastModifiedBy>Joseph Jakuta</cp:lastModifiedBy>
  <cp:revision>3</cp:revision>
  <cp:lastPrinted>2016-04-01T15:00:00Z</cp:lastPrinted>
  <dcterms:created xsi:type="dcterms:W3CDTF">2016-04-11T20:24:00Z</dcterms:created>
  <dcterms:modified xsi:type="dcterms:W3CDTF">2016-04-11T20:32:00Z</dcterms:modified>
</cp:coreProperties>
</file>